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323A" w:rsidRPr="00E1323A" w:rsidRDefault="00E1323A" w:rsidP="00E1323A">
      <w:pPr>
        <w:spacing w:after="0" w:line="300" w:lineRule="auto"/>
        <w:contextualSpacing/>
        <w:rPr>
          <w:rFonts w:ascii="Arial" w:eastAsia="Times New Roman" w:hAnsi="Arial" w:cs="Arial"/>
          <w:b/>
          <w:bCs/>
          <w:color w:val="0070C0"/>
          <w:sz w:val="28"/>
          <w:szCs w:val="28"/>
        </w:rPr>
      </w:pPr>
      <w:r w:rsidRPr="00E1323A">
        <w:rPr>
          <w:rFonts w:ascii="Arial" w:eastAsia="Times New Roman" w:hAnsi="Arial" w:cs="Arial"/>
          <w:b/>
          <w:bCs/>
          <w:color w:val="0070C0"/>
          <w:sz w:val="28"/>
          <w:szCs w:val="28"/>
        </w:rPr>
        <w:t>How to evaluate</w:t>
      </w:r>
      <w:r w:rsidR="00F237DA">
        <w:rPr>
          <w:rFonts w:ascii="Arial" w:eastAsia="Times New Roman" w:hAnsi="Arial" w:cs="Arial"/>
          <w:b/>
          <w:bCs/>
          <w:color w:val="0070C0"/>
          <w:sz w:val="28"/>
          <w:szCs w:val="28"/>
        </w:rPr>
        <w:t xml:space="preserve"> discharge to assess</w:t>
      </w:r>
    </w:p>
    <w:p w:rsidR="00E1323A" w:rsidRDefault="00E1323A" w:rsidP="00E1323A">
      <w:pPr>
        <w:spacing w:after="0" w:line="240" w:lineRule="auto"/>
        <w:contextualSpacing/>
        <w:rPr>
          <w:rFonts w:ascii="Arial" w:hAnsi="Arial" w:cs="Arial"/>
          <w:bCs/>
          <w:sz w:val="24"/>
          <w:szCs w:val="24"/>
        </w:rPr>
      </w:pPr>
    </w:p>
    <w:p w:rsidR="00E1323A" w:rsidRPr="00E1323A" w:rsidRDefault="00E1323A" w:rsidP="00E1323A">
      <w:pPr>
        <w:spacing w:after="0" w:line="240" w:lineRule="auto"/>
        <w:contextualSpacing/>
        <w:rPr>
          <w:rFonts w:ascii="Arial" w:hAnsi="Arial" w:cs="Arial"/>
          <w:b/>
          <w:bCs/>
          <w:sz w:val="24"/>
          <w:szCs w:val="24"/>
        </w:rPr>
      </w:pPr>
      <w:r w:rsidRPr="00E1323A">
        <w:rPr>
          <w:rFonts w:ascii="Arial" w:hAnsi="Arial" w:cs="Arial"/>
          <w:b/>
          <w:bCs/>
          <w:sz w:val="24"/>
          <w:szCs w:val="24"/>
        </w:rPr>
        <w:t>Metrics</w:t>
      </w:r>
    </w:p>
    <w:p w:rsidR="00E1323A" w:rsidRDefault="00E1323A" w:rsidP="00657387">
      <w:pPr>
        <w:spacing w:after="0" w:line="240" w:lineRule="auto"/>
        <w:jc w:val="both"/>
        <w:rPr>
          <w:rFonts w:ascii="Arial" w:hAnsi="Arial" w:cs="Arial"/>
          <w:bCs/>
          <w:sz w:val="24"/>
          <w:szCs w:val="24"/>
        </w:rPr>
      </w:pPr>
    </w:p>
    <w:p w:rsidR="00657387" w:rsidRPr="0098632C" w:rsidRDefault="00657387" w:rsidP="00657387">
      <w:pPr>
        <w:spacing w:after="0" w:line="240" w:lineRule="auto"/>
        <w:jc w:val="both"/>
        <w:rPr>
          <w:rFonts w:ascii="Arial" w:hAnsi="Arial" w:cs="Arial"/>
          <w:bCs/>
          <w:sz w:val="24"/>
          <w:szCs w:val="24"/>
        </w:rPr>
      </w:pPr>
      <w:r w:rsidRPr="0098632C">
        <w:rPr>
          <w:rFonts w:ascii="Arial" w:hAnsi="Arial" w:cs="Arial"/>
          <w:bCs/>
          <w:sz w:val="24"/>
          <w:szCs w:val="24"/>
        </w:rPr>
        <w:t xml:space="preserve">Although </w:t>
      </w:r>
      <w:r>
        <w:rPr>
          <w:rFonts w:ascii="Arial" w:hAnsi="Arial" w:cs="Arial"/>
          <w:bCs/>
          <w:sz w:val="24"/>
          <w:szCs w:val="24"/>
        </w:rPr>
        <w:t>discharge to assess</w:t>
      </w:r>
      <w:r w:rsidRPr="0098632C">
        <w:rPr>
          <w:rFonts w:ascii="Arial" w:hAnsi="Arial" w:cs="Arial"/>
          <w:bCs/>
          <w:sz w:val="24"/>
          <w:szCs w:val="24"/>
        </w:rPr>
        <w:t xml:space="preserve"> pathways should be accessible to all patients, it is recommended that the measures below are applied to the 75+ age group as improvement is likely to have the greatest impact for these patients. Local systems may also wish to draw down the measures by specific age bands to understand differences between age cohorts.  </w:t>
      </w:r>
    </w:p>
    <w:p w:rsidR="00657387" w:rsidRDefault="00657387" w:rsidP="00657387">
      <w:pPr>
        <w:spacing w:after="0" w:line="240" w:lineRule="auto"/>
        <w:rPr>
          <w:rFonts w:ascii="Arial" w:hAnsi="Arial" w:cs="Arial"/>
          <w:bCs/>
          <w:sz w:val="24"/>
          <w:szCs w:val="24"/>
        </w:rPr>
      </w:pPr>
    </w:p>
    <w:p w:rsidR="00657387" w:rsidRPr="0098632C" w:rsidRDefault="00657387" w:rsidP="00657387">
      <w:pPr>
        <w:spacing w:after="0" w:line="240" w:lineRule="auto"/>
        <w:rPr>
          <w:rFonts w:ascii="Arial" w:hAnsi="Arial" w:cs="Arial"/>
          <w:bCs/>
          <w:sz w:val="24"/>
          <w:szCs w:val="24"/>
        </w:rPr>
      </w:pPr>
      <w:r w:rsidRPr="0098632C">
        <w:rPr>
          <w:rFonts w:ascii="Arial" w:hAnsi="Arial" w:cs="Arial"/>
          <w:bCs/>
          <w:sz w:val="24"/>
          <w:szCs w:val="24"/>
        </w:rPr>
        <w:t>KEY:</w:t>
      </w:r>
    </w:p>
    <w:p w:rsidR="00657387" w:rsidRPr="0098632C" w:rsidRDefault="00657387" w:rsidP="00657387">
      <w:pPr>
        <w:spacing w:after="0" w:line="240" w:lineRule="auto"/>
        <w:rPr>
          <w:rFonts w:ascii="Arial" w:hAnsi="Arial" w:cs="Arial"/>
          <w:bCs/>
          <w:sz w:val="24"/>
          <w:szCs w:val="24"/>
        </w:rPr>
      </w:pPr>
      <w:r w:rsidRPr="0098632C">
        <w:rPr>
          <w:rFonts w:ascii="Arial" w:hAnsi="Arial" w:cs="Arial"/>
          <w:bCs/>
          <w:sz w:val="24"/>
          <w:szCs w:val="24"/>
          <w:shd w:val="clear" w:color="auto" w:fill="C2D69B" w:themeFill="accent3" w:themeFillTint="99"/>
        </w:rPr>
        <w:t xml:space="preserve">Green </w:t>
      </w:r>
      <w:r w:rsidRPr="0098632C">
        <w:rPr>
          <w:rFonts w:ascii="Arial" w:hAnsi="Arial" w:cs="Arial"/>
          <w:bCs/>
          <w:sz w:val="24"/>
          <w:szCs w:val="24"/>
        </w:rPr>
        <w:t>– Available from existing routine data collections</w:t>
      </w:r>
    </w:p>
    <w:p w:rsidR="00657387" w:rsidRPr="0098632C" w:rsidRDefault="00657387" w:rsidP="00657387">
      <w:pPr>
        <w:spacing w:after="0" w:line="240" w:lineRule="auto"/>
        <w:rPr>
          <w:rFonts w:ascii="Arial" w:hAnsi="Arial" w:cs="Arial"/>
          <w:bCs/>
          <w:sz w:val="24"/>
          <w:szCs w:val="24"/>
        </w:rPr>
      </w:pPr>
      <w:r w:rsidRPr="0098632C">
        <w:rPr>
          <w:rFonts w:ascii="Arial" w:hAnsi="Arial" w:cs="Arial"/>
          <w:bCs/>
          <w:sz w:val="24"/>
          <w:szCs w:val="24"/>
          <w:shd w:val="clear" w:color="auto" w:fill="D99594" w:themeFill="accent2" w:themeFillTint="99"/>
        </w:rPr>
        <w:t xml:space="preserve">Red </w:t>
      </w:r>
      <w:r w:rsidRPr="0098632C">
        <w:rPr>
          <w:rFonts w:ascii="Arial" w:hAnsi="Arial" w:cs="Arial"/>
          <w:bCs/>
          <w:sz w:val="24"/>
          <w:szCs w:val="24"/>
        </w:rPr>
        <w:t>– Requirement for bespoke data collection</w:t>
      </w:r>
    </w:p>
    <w:tbl>
      <w:tblPr>
        <w:tblStyle w:val="TableGrid"/>
        <w:tblpPr w:leftFromText="180" w:rightFromText="180" w:vertAnchor="text" w:horzAnchor="margin" w:tblpXSpec="center" w:tblpY="341"/>
        <w:tblW w:w="10170" w:type="dxa"/>
        <w:tblBorders>
          <w:top w:val="single" w:sz="12" w:space="0" w:color="auto"/>
          <w:left w:val="single" w:sz="12" w:space="0" w:color="auto"/>
          <w:bottom w:val="single" w:sz="12" w:space="0" w:color="auto"/>
          <w:right w:val="single" w:sz="12" w:space="0" w:color="auto"/>
          <w:insideH w:val="single" w:sz="12" w:space="0" w:color="auto"/>
          <w:insideV w:val="single" w:sz="2" w:space="0" w:color="auto"/>
        </w:tblBorders>
        <w:tblLayout w:type="fixed"/>
        <w:tblLook w:val="04A0" w:firstRow="1" w:lastRow="0" w:firstColumn="1" w:lastColumn="0" w:noHBand="0" w:noVBand="1"/>
      </w:tblPr>
      <w:tblGrid>
        <w:gridCol w:w="2092"/>
        <w:gridCol w:w="3543"/>
        <w:gridCol w:w="4535"/>
      </w:tblGrid>
      <w:tr w:rsidR="00657387" w:rsidTr="004B120A">
        <w:trPr>
          <w:cantSplit/>
          <w:tblHeader/>
        </w:trPr>
        <w:tc>
          <w:tcPr>
            <w:tcW w:w="2092" w:type="dxa"/>
            <w:tcBorders>
              <w:top w:val="single" w:sz="12" w:space="0" w:color="auto"/>
              <w:left w:val="single" w:sz="12" w:space="0" w:color="auto"/>
              <w:bottom w:val="single" w:sz="12" w:space="0" w:color="auto"/>
              <w:right w:val="single" w:sz="2" w:space="0" w:color="auto"/>
            </w:tcBorders>
            <w:shd w:val="clear" w:color="auto" w:fill="FFFFFF" w:themeFill="background1"/>
          </w:tcPr>
          <w:p w:rsidR="00657387" w:rsidRDefault="00657387" w:rsidP="00E1323A">
            <w:pPr>
              <w:rPr>
                <w:rFonts w:ascii="Arial" w:hAnsi="Arial" w:cs="Arial"/>
                <w:bCs/>
                <w:sz w:val="20"/>
                <w:szCs w:val="20"/>
              </w:rPr>
            </w:pPr>
          </w:p>
        </w:tc>
        <w:tc>
          <w:tcPr>
            <w:tcW w:w="3543" w:type="dxa"/>
            <w:tcBorders>
              <w:top w:val="single" w:sz="12" w:space="0" w:color="auto"/>
              <w:left w:val="single" w:sz="2" w:space="0" w:color="auto"/>
              <w:bottom w:val="single" w:sz="12" w:space="0" w:color="auto"/>
              <w:right w:val="single" w:sz="2" w:space="0" w:color="auto"/>
            </w:tcBorders>
            <w:shd w:val="clear" w:color="auto" w:fill="FFFFFF" w:themeFill="background1"/>
            <w:hideMark/>
          </w:tcPr>
          <w:p w:rsidR="00657387" w:rsidRDefault="00657387" w:rsidP="00E1323A">
            <w:pPr>
              <w:rPr>
                <w:rFonts w:ascii="Arial" w:hAnsi="Arial" w:cs="Arial"/>
                <w:b/>
                <w:bCs/>
                <w:sz w:val="20"/>
                <w:szCs w:val="20"/>
              </w:rPr>
            </w:pPr>
            <w:r>
              <w:rPr>
                <w:rFonts w:ascii="Arial" w:hAnsi="Arial" w:cs="Arial"/>
                <w:b/>
                <w:bCs/>
                <w:sz w:val="20"/>
                <w:szCs w:val="20"/>
              </w:rPr>
              <w:t>Process Measures</w:t>
            </w:r>
          </w:p>
        </w:tc>
        <w:tc>
          <w:tcPr>
            <w:tcW w:w="4535" w:type="dxa"/>
            <w:tcBorders>
              <w:top w:val="single" w:sz="12" w:space="0" w:color="auto"/>
              <w:left w:val="single" w:sz="2" w:space="0" w:color="auto"/>
              <w:bottom w:val="single" w:sz="12" w:space="0" w:color="auto"/>
              <w:right w:val="single" w:sz="12" w:space="0" w:color="auto"/>
            </w:tcBorders>
            <w:shd w:val="clear" w:color="auto" w:fill="FFFFFF" w:themeFill="background1"/>
            <w:hideMark/>
          </w:tcPr>
          <w:p w:rsidR="00657387" w:rsidRDefault="00657387" w:rsidP="00E1323A">
            <w:pPr>
              <w:rPr>
                <w:rFonts w:ascii="Arial" w:hAnsi="Arial" w:cs="Arial"/>
                <w:b/>
                <w:bCs/>
                <w:sz w:val="20"/>
                <w:szCs w:val="20"/>
              </w:rPr>
            </w:pPr>
            <w:r>
              <w:rPr>
                <w:rFonts w:ascii="Arial" w:hAnsi="Arial" w:cs="Arial"/>
                <w:b/>
                <w:bCs/>
                <w:sz w:val="20"/>
                <w:szCs w:val="20"/>
              </w:rPr>
              <w:t>Outcome Measures</w:t>
            </w:r>
          </w:p>
          <w:p w:rsidR="00E1323A" w:rsidRDefault="00E1323A" w:rsidP="00E1323A">
            <w:pPr>
              <w:rPr>
                <w:rFonts w:ascii="Arial" w:hAnsi="Arial" w:cs="Arial"/>
                <w:b/>
                <w:bCs/>
                <w:sz w:val="20"/>
                <w:szCs w:val="20"/>
              </w:rPr>
            </w:pPr>
          </w:p>
        </w:tc>
      </w:tr>
      <w:tr w:rsidR="00E1323A" w:rsidTr="004B120A">
        <w:trPr>
          <w:cantSplit/>
          <w:trHeight w:val="1155"/>
          <w:tblHeader/>
        </w:trPr>
        <w:tc>
          <w:tcPr>
            <w:tcW w:w="2092" w:type="dxa"/>
            <w:vMerge w:val="restart"/>
            <w:tcBorders>
              <w:top w:val="single" w:sz="12" w:space="0" w:color="auto"/>
              <w:left w:val="single" w:sz="12" w:space="0" w:color="auto"/>
              <w:right w:val="single" w:sz="2" w:space="0" w:color="auto"/>
            </w:tcBorders>
            <w:shd w:val="clear" w:color="auto" w:fill="FFFFFF" w:themeFill="background1"/>
          </w:tcPr>
          <w:p w:rsidR="00E1323A" w:rsidRDefault="00E1323A" w:rsidP="00E1323A">
            <w:pPr>
              <w:rPr>
                <w:rFonts w:ascii="Arial" w:hAnsi="Arial" w:cs="Arial"/>
                <w:b/>
                <w:bCs/>
                <w:sz w:val="20"/>
                <w:szCs w:val="20"/>
              </w:rPr>
            </w:pPr>
            <w:r>
              <w:rPr>
                <w:rFonts w:ascii="Arial" w:hAnsi="Arial" w:cs="Arial"/>
                <w:b/>
                <w:bCs/>
                <w:sz w:val="20"/>
                <w:szCs w:val="20"/>
              </w:rPr>
              <w:t>Checks and Balances</w:t>
            </w:r>
          </w:p>
        </w:tc>
        <w:tc>
          <w:tcPr>
            <w:tcW w:w="3543" w:type="dxa"/>
            <w:tcBorders>
              <w:top w:val="single" w:sz="12" w:space="0" w:color="auto"/>
              <w:left w:val="single" w:sz="2" w:space="0" w:color="auto"/>
              <w:bottom w:val="nil"/>
              <w:right w:val="single" w:sz="2" w:space="0" w:color="auto"/>
            </w:tcBorders>
            <w:shd w:val="clear" w:color="auto" w:fill="FFFFFF" w:themeFill="background1"/>
          </w:tcPr>
          <w:p w:rsidR="00E1323A" w:rsidRPr="006E11A3" w:rsidRDefault="002356BD" w:rsidP="00E1323A">
            <w:pPr>
              <w:rPr>
                <w:rFonts w:ascii="Arial" w:hAnsi="Arial" w:cs="Arial"/>
                <w:bCs/>
                <w:sz w:val="20"/>
                <w:szCs w:val="20"/>
              </w:rPr>
            </w:pPr>
            <w:r>
              <w:rPr>
                <w:rFonts w:ascii="Arial" w:hAnsi="Arial" w:cs="Arial"/>
                <w:bCs/>
                <w:sz w:val="20"/>
                <w:szCs w:val="20"/>
              </w:rPr>
              <w:t xml:space="preserve">These are </w:t>
            </w:r>
            <w:r w:rsidR="00E1323A" w:rsidRPr="00E1323A">
              <w:rPr>
                <w:rFonts w:ascii="Arial" w:hAnsi="Arial" w:cs="Arial"/>
                <w:bCs/>
                <w:sz w:val="20"/>
                <w:szCs w:val="20"/>
                <w:shd w:val="clear" w:color="auto" w:fill="FFFFFF" w:themeFill="background1"/>
              </w:rPr>
              <w:t>recommended so that people are not being unsafely discharged through achieving the ambitions set out in this Quick Guide.</w:t>
            </w:r>
          </w:p>
        </w:tc>
        <w:tc>
          <w:tcPr>
            <w:tcW w:w="4535" w:type="dxa"/>
            <w:vMerge w:val="restart"/>
            <w:tcBorders>
              <w:top w:val="single" w:sz="12" w:space="0" w:color="auto"/>
              <w:left w:val="single" w:sz="2" w:space="0" w:color="auto"/>
              <w:right w:val="single" w:sz="12" w:space="0" w:color="auto"/>
            </w:tcBorders>
            <w:shd w:val="clear" w:color="auto" w:fill="D99594" w:themeFill="accent2" w:themeFillTint="99"/>
          </w:tcPr>
          <w:p w:rsidR="00E1323A" w:rsidRDefault="004B120A" w:rsidP="00E1323A">
            <w:pPr>
              <w:rPr>
                <w:rFonts w:ascii="Arial" w:hAnsi="Arial" w:cs="Arial"/>
                <w:bCs/>
                <w:sz w:val="20"/>
                <w:szCs w:val="20"/>
              </w:rPr>
            </w:pPr>
            <w:r w:rsidRPr="00E1323A">
              <w:rPr>
                <w:rFonts w:ascii="Arial" w:hAnsi="Arial" w:cs="Arial"/>
                <w:bCs/>
                <w:sz w:val="20"/>
                <w:szCs w:val="20"/>
              </w:rPr>
              <w:t>Patient reported outcome measures</w:t>
            </w:r>
          </w:p>
          <w:p w:rsidR="004B120A" w:rsidRDefault="004B120A" w:rsidP="00E1323A">
            <w:pPr>
              <w:rPr>
                <w:rFonts w:ascii="Arial" w:hAnsi="Arial" w:cs="Arial"/>
                <w:bCs/>
                <w:sz w:val="20"/>
                <w:szCs w:val="20"/>
              </w:rPr>
            </w:pPr>
          </w:p>
          <w:p w:rsidR="004B120A" w:rsidRDefault="004B120A" w:rsidP="00E1323A">
            <w:pPr>
              <w:rPr>
                <w:rFonts w:ascii="Arial" w:hAnsi="Arial" w:cs="Arial"/>
                <w:bCs/>
                <w:sz w:val="20"/>
                <w:szCs w:val="20"/>
              </w:rPr>
            </w:pPr>
            <w:r>
              <w:rPr>
                <w:rFonts w:ascii="Arial" w:hAnsi="Arial" w:cs="Arial"/>
                <w:bCs/>
                <w:sz w:val="20"/>
                <w:szCs w:val="20"/>
              </w:rPr>
              <w:t xml:space="preserve">Patient </w:t>
            </w:r>
            <w:r w:rsidRPr="004B120A">
              <w:rPr>
                <w:rFonts w:ascii="Arial" w:hAnsi="Arial" w:cs="Arial"/>
                <w:bCs/>
                <w:sz w:val="20"/>
                <w:szCs w:val="20"/>
              </w:rPr>
              <w:t>mo</w:t>
            </w:r>
            <w:bookmarkStart w:id="0" w:name="_GoBack"/>
            <w:bookmarkEnd w:id="0"/>
            <w:r w:rsidRPr="004B120A">
              <w:rPr>
                <w:rFonts w:ascii="Arial" w:hAnsi="Arial" w:cs="Arial"/>
                <w:bCs/>
                <w:sz w:val="20"/>
                <w:szCs w:val="20"/>
              </w:rPr>
              <w:t>rtality rates for D2A</w:t>
            </w:r>
          </w:p>
        </w:tc>
      </w:tr>
      <w:tr w:rsidR="00E1323A" w:rsidTr="004B120A">
        <w:trPr>
          <w:cantSplit/>
          <w:trHeight w:val="480"/>
          <w:tblHeader/>
        </w:trPr>
        <w:tc>
          <w:tcPr>
            <w:tcW w:w="2092" w:type="dxa"/>
            <w:vMerge/>
            <w:tcBorders>
              <w:top w:val="single" w:sz="12" w:space="0" w:color="auto"/>
              <w:left w:val="single" w:sz="12" w:space="0" w:color="auto"/>
              <w:right w:val="single" w:sz="2" w:space="0" w:color="auto"/>
            </w:tcBorders>
            <w:shd w:val="clear" w:color="auto" w:fill="FFFFFF" w:themeFill="background1"/>
          </w:tcPr>
          <w:p w:rsidR="00E1323A" w:rsidRDefault="00E1323A" w:rsidP="00E1323A">
            <w:pPr>
              <w:rPr>
                <w:rFonts w:ascii="Arial" w:hAnsi="Arial" w:cs="Arial"/>
                <w:b/>
                <w:bCs/>
                <w:sz w:val="20"/>
                <w:szCs w:val="20"/>
              </w:rPr>
            </w:pPr>
          </w:p>
        </w:tc>
        <w:tc>
          <w:tcPr>
            <w:tcW w:w="3543" w:type="dxa"/>
            <w:tcBorders>
              <w:top w:val="nil"/>
              <w:left w:val="single" w:sz="2" w:space="0" w:color="auto"/>
              <w:bottom w:val="nil"/>
              <w:right w:val="single" w:sz="2" w:space="0" w:color="auto"/>
            </w:tcBorders>
            <w:shd w:val="clear" w:color="auto" w:fill="FFFFFF" w:themeFill="background1"/>
          </w:tcPr>
          <w:p w:rsidR="00E1323A" w:rsidRPr="00E1323A" w:rsidRDefault="00E1323A" w:rsidP="00E1323A">
            <w:pPr>
              <w:rPr>
                <w:rFonts w:ascii="Arial" w:hAnsi="Arial" w:cs="Arial"/>
                <w:bCs/>
                <w:sz w:val="20"/>
                <w:szCs w:val="20"/>
              </w:rPr>
            </w:pPr>
          </w:p>
        </w:tc>
        <w:tc>
          <w:tcPr>
            <w:tcW w:w="4535" w:type="dxa"/>
            <w:vMerge/>
            <w:tcBorders>
              <w:top w:val="single" w:sz="12" w:space="0" w:color="auto"/>
              <w:left w:val="single" w:sz="2" w:space="0" w:color="auto"/>
              <w:right w:val="single" w:sz="12" w:space="0" w:color="auto"/>
            </w:tcBorders>
            <w:shd w:val="clear" w:color="auto" w:fill="D99594" w:themeFill="accent2" w:themeFillTint="99"/>
          </w:tcPr>
          <w:p w:rsidR="00E1323A" w:rsidRDefault="00E1323A" w:rsidP="00E1323A">
            <w:pPr>
              <w:rPr>
                <w:rFonts w:ascii="Arial" w:hAnsi="Arial" w:cs="Arial"/>
                <w:bCs/>
                <w:sz w:val="20"/>
                <w:szCs w:val="20"/>
              </w:rPr>
            </w:pPr>
          </w:p>
        </w:tc>
      </w:tr>
      <w:tr w:rsidR="00E1323A" w:rsidTr="004B120A">
        <w:trPr>
          <w:cantSplit/>
          <w:trHeight w:val="1332"/>
          <w:tblHeader/>
        </w:trPr>
        <w:tc>
          <w:tcPr>
            <w:tcW w:w="2092" w:type="dxa"/>
            <w:vMerge/>
            <w:tcBorders>
              <w:left w:val="single" w:sz="12" w:space="0" w:color="auto"/>
              <w:bottom w:val="single" w:sz="12" w:space="0" w:color="auto"/>
              <w:right w:val="single" w:sz="2" w:space="0" w:color="auto"/>
            </w:tcBorders>
            <w:shd w:val="clear" w:color="auto" w:fill="FFFFFF" w:themeFill="background1"/>
          </w:tcPr>
          <w:p w:rsidR="00E1323A" w:rsidRDefault="00E1323A" w:rsidP="00E1323A">
            <w:pPr>
              <w:rPr>
                <w:rFonts w:ascii="Arial" w:hAnsi="Arial" w:cs="Arial"/>
                <w:b/>
                <w:bCs/>
                <w:sz w:val="20"/>
                <w:szCs w:val="20"/>
              </w:rPr>
            </w:pPr>
          </w:p>
        </w:tc>
        <w:tc>
          <w:tcPr>
            <w:tcW w:w="3543" w:type="dxa"/>
            <w:tcBorders>
              <w:top w:val="nil"/>
              <w:left w:val="single" w:sz="2" w:space="0" w:color="auto"/>
              <w:bottom w:val="single" w:sz="12" w:space="0" w:color="auto"/>
              <w:right w:val="single" w:sz="2" w:space="0" w:color="auto"/>
            </w:tcBorders>
            <w:shd w:val="clear" w:color="auto" w:fill="C2D69B" w:themeFill="accent3" w:themeFillTint="99"/>
          </w:tcPr>
          <w:p w:rsidR="00E1323A" w:rsidRPr="00E1323A" w:rsidRDefault="00E1323A" w:rsidP="00E1323A">
            <w:pPr>
              <w:rPr>
                <w:rFonts w:ascii="Arial" w:hAnsi="Arial" w:cs="Arial"/>
                <w:bCs/>
                <w:sz w:val="20"/>
                <w:szCs w:val="20"/>
              </w:rPr>
            </w:pPr>
            <w:r w:rsidRPr="00E1323A">
              <w:rPr>
                <w:rFonts w:ascii="Arial" w:hAnsi="Arial" w:cs="Arial"/>
                <w:bCs/>
                <w:sz w:val="20"/>
                <w:szCs w:val="20"/>
              </w:rPr>
              <w:t>% of re-admissions (an increase is not always a negative indicator)</w:t>
            </w:r>
          </w:p>
          <w:p w:rsidR="00E1323A" w:rsidRDefault="00E1323A" w:rsidP="00E1323A">
            <w:pPr>
              <w:rPr>
                <w:rFonts w:ascii="Arial" w:hAnsi="Arial" w:cs="Arial"/>
                <w:bCs/>
                <w:sz w:val="20"/>
                <w:szCs w:val="20"/>
              </w:rPr>
            </w:pPr>
          </w:p>
          <w:p w:rsidR="004B120A" w:rsidRDefault="00E1323A" w:rsidP="00E1323A">
            <w:pPr>
              <w:rPr>
                <w:rFonts w:ascii="Arial" w:hAnsi="Arial" w:cs="Arial"/>
                <w:bCs/>
                <w:sz w:val="20"/>
                <w:szCs w:val="20"/>
              </w:rPr>
            </w:pPr>
            <w:r w:rsidRPr="00E1323A">
              <w:rPr>
                <w:rFonts w:ascii="Arial" w:hAnsi="Arial" w:cs="Arial"/>
                <w:bCs/>
                <w:sz w:val="20"/>
                <w:szCs w:val="20"/>
              </w:rPr>
              <w:t>Number of moves (within hospital and community)</w:t>
            </w:r>
          </w:p>
          <w:p w:rsidR="00F237DA" w:rsidRDefault="00F237DA" w:rsidP="00E1323A">
            <w:pPr>
              <w:rPr>
                <w:rFonts w:ascii="Arial" w:hAnsi="Arial" w:cs="Arial"/>
                <w:bCs/>
                <w:sz w:val="20"/>
                <w:szCs w:val="20"/>
              </w:rPr>
            </w:pPr>
          </w:p>
          <w:p w:rsidR="00F237DA" w:rsidRPr="00E1323A" w:rsidRDefault="00F237DA" w:rsidP="00E1323A">
            <w:pPr>
              <w:rPr>
                <w:rFonts w:ascii="Arial" w:hAnsi="Arial" w:cs="Arial"/>
                <w:bCs/>
                <w:sz w:val="20"/>
                <w:szCs w:val="20"/>
              </w:rPr>
            </w:pPr>
          </w:p>
        </w:tc>
        <w:tc>
          <w:tcPr>
            <w:tcW w:w="4535" w:type="dxa"/>
            <w:vMerge/>
            <w:tcBorders>
              <w:left w:val="single" w:sz="2" w:space="0" w:color="auto"/>
              <w:bottom w:val="single" w:sz="12" w:space="0" w:color="auto"/>
              <w:right w:val="single" w:sz="12" w:space="0" w:color="auto"/>
            </w:tcBorders>
            <w:shd w:val="clear" w:color="auto" w:fill="D99594" w:themeFill="accent2" w:themeFillTint="99"/>
          </w:tcPr>
          <w:p w:rsidR="00E1323A" w:rsidRDefault="00E1323A" w:rsidP="00E1323A">
            <w:pPr>
              <w:rPr>
                <w:rFonts w:ascii="Arial" w:hAnsi="Arial" w:cs="Arial"/>
                <w:bCs/>
                <w:sz w:val="20"/>
                <w:szCs w:val="20"/>
              </w:rPr>
            </w:pPr>
          </w:p>
        </w:tc>
      </w:tr>
      <w:tr w:rsidR="00CA20CC" w:rsidTr="00F237DA">
        <w:trPr>
          <w:cantSplit/>
          <w:trHeight w:val="3040"/>
          <w:tblHeader/>
        </w:trPr>
        <w:tc>
          <w:tcPr>
            <w:tcW w:w="2092" w:type="dxa"/>
            <w:tcBorders>
              <w:top w:val="single" w:sz="12" w:space="0" w:color="auto"/>
              <w:left w:val="single" w:sz="12" w:space="0" w:color="auto"/>
              <w:bottom w:val="single" w:sz="12" w:space="0" w:color="auto"/>
              <w:right w:val="single" w:sz="2" w:space="0" w:color="auto"/>
            </w:tcBorders>
            <w:shd w:val="clear" w:color="auto" w:fill="FFFFFF" w:themeFill="background1"/>
          </w:tcPr>
          <w:p w:rsidR="00CA20CC" w:rsidRDefault="00CA20CC" w:rsidP="00E1323A">
            <w:pPr>
              <w:rPr>
                <w:rFonts w:ascii="Arial" w:hAnsi="Arial" w:cs="Arial"/>
                <w:bCs/>
                <w:sz w:val="20"/>
                <w:szCs w:val="20"/>
              </w:rPr>
            </w:pPr>
            <w:r>
              <w:rPr>
                <w:rFonts w:ascii="Arial" w:hAnsi="Arial" w:cs="Arial"/>
                <w:b/>
                <w:bCs/>
                <w:sz w:val="20"/>
                <w:szCs w:val="20"/>
              </w:rPr>
              <w:t xml:space="preserve">Access to D2A pathway </w:t>
            </w:r>
            <w:r>
              <w:rPr>
                <w:rFonts w:ascii="Arial" w:hAnsi="Arial" w:cs="Arial"/>
                <w:bCs/>
                <w:sz w:val="20"/>
                <w:szCs w:val="20"/>
              </w:rPr>
              <w:t xml:space="preserve"> </w:t>
            </w:r>
          </w:p>
          <w:p w:rsidR="00CA20CC" w:rsidRDefault="00CA20CC" w:rsidP="00E1323A">
            <w:pPr>
              <w:rPr>
                <w:rFonts w:ascii="Arial" w:hAnsi="Arial" w:cs="Arial"/>
                <w:bCs/>
                <w:sz w:val="20"/>
                <w:szCs w:val="20"/>
              </w:rPr>
            </w:pPr>
          </w:p>
          <w:p w:rsidR="00CA20CC" w:rsidRDefault="00CA20CC" w:rsidP="00E1323A">
            <w:pPr>
              <w:rPr>
                <w:rFonts w:ascii="Arial" w:hAnsi="Arial" w:cs="Arial"/>
                <w:bCs/>
                <w:sz w:val="20"/>
                <w:szCs w:val="20"/>
              </w:rPr>
            </w:pPr>
          </w:p>
          <w:p w:rsidR="00CA20CC" w:rsidRDefault="00CA20CC" w:rsidP="00E1323A">
            <w:pPr>
              <w:rPr>
                <w:rFonts w:ascii="Arial" w:hAnsi="Arial" w:cs="Arial"/>
                <w:bCs/>
                <w:sz w:val="20"/>
                <w:szCs w:val="20"/>
              </w:rPr>
            </w:pPr>
          </w:p>
        </w:tc>
        <w:tc>
          <w:tcPr>
            <w:tcW w:w="3543" w:type="dxa"/>
            <w:tcBorders>
              <w:top w:val="single" w:sz="12" w:space="0" w:color="auto"/>
              <w:left w:val="single" w:sz="2" w:space="0" w:color="auto"/>
              <w:bottom w:val="single" w:sz="12" w:space="0" w:color="auto"/>
              <w:right w:val="single" w:sz="2" w:space="0" w:color="auto"/>
            </w:tcBorders>
            <w:shd w:val="clear" w:color="auto" w:fill="D99594" w:themeFill="accent2" w:themeFillTint="99"/>
          </w:tcPr>
          <w:p w:rsidR="00CA20CC" w:rsidRDefault="00CA20CC" w:rsidP="00E1323A">
            <w:pPr>
              <w:rPr>
                <w:rFonts w:ascii="Arial" w:hAnsi="Arial" w:cs="Arial"/>
                <w:bCs/>
                <w:sz w:val="20"/>
                <w:szCs w:val="20"/>
              </w:rPr>
            </w:pPr>
            <w:r>
              <w:rPr>
                <w:rFonts w:ascii="Arial" w:hAnsi="Arial" w:cs="Arial"/>
                <w:bCs/>
                <w:sz w:val="20"/>
                <w:szCs w:val="20"/>
              </w:rPr>
              <w:t xml:space="preserve">All patients have access to D2A pathway. </w:t>
            </w:r>
          </w:p>
          <w:p w:rsidR="00CA20CC" w:rsidRDefault="00CA20CC" w:rsidP="00E1323A">
            <w:pPr>
              <w:rPr>
                <w:rFonts w:ascii="Arial" w:hAnsi="Arial" w:cs="Arial"/>
                <w:bCs/>
                <w:sz w:val="20"/>
                <w:szCs w:val="20"/>
              </w:rPr>
            </w:pPr>
          </w:p>
          <w:p w:rsidR="00CA20CC" w:rsidRDefault="00CA20CC" w:rsidP="00E1323A">
            <w:pPr>
              <w:rPr>
                <w:rFonts w:ascii="Arial" w:hAnsi="Arial" w:cs="Arial"/>
                <w:bCs/>
                <w:sz w:val="20"/>
                <w:szCs w:val="20"/>
              </w:rPr>
            </w:pPr>
            <w:r>
              <w:rPr>
                <w:rFonts w:ascii="Arial" w:hAnsi="Arial" w:cs="Arial"/>
                <w:bCs/>
                <w:sz w:val="20"/>
                <w:szCs w:val="20"/>
              </w:rPr>
              <w:t>Number of discharges on D2A pathway</w:t>
            </w:r>
          </w:p>
          <w:p w:rsidR="00CA20CC" w:rsidRDefault="00CA20CC" w:rsidP="00E1323A">
            <w:pPr>
              <w:rPr>
                <w:rFonts w:ascii="Arial" w:hAnsi="Arial" w:cs="Arial"/>
                <w:bCs/>
                <w:sz w:val="20"/>
                <w:szCs w:val="20"/>
              </w:rPr>
            </w:pPr>
          </w:p>
          <w:p w:rsidR="00CA20CC" w:rsidRDefault="00CA20CC" w:rsidP="00E1323A">
            <w:pPr>
              <w:rPr>
                <w:rFonts w:ascii="Arial" w:hAnsi="Arial" w:cs="Arial"/>
                <w:bCs/>
                <w:sz w:val="20"/>
                <w:szCs w:val="20"/>
              </w:rPr>
            </w:pPr>
            <w:r>
              <w:rPr>
                <w:rFonts w:ascii="Arial" w:hAnsi="Arial" w:cs="Arial"/>
                <w:bCs/>
                <w:sz w:val="20"/>
                <w:szCs w:val="20"/>
              </w:rPr>
              <w:t>Patients able to access the right service within 24 hours of being assessed as clinically optimised.</w:t>
            </w:r>
          </w:p>
          <w:p w:rsidR="00CA20CC" w:rsidRDefault="00CA20CC" w:rsidP="00E1323A">
            <w:pPr>
              <w:rPr>
                <w:rFonts w:ascii="Arial" w:hAnsi="Arial" w:cs="Arial"/>
                <w:bCs/>
                <w:sz w:val="20"/>
                <w:szCs w:val="20"/>
              </w:rPr>
            </w:pPr>
          </w:p>
          <w:p w:rsidR="00CA20CC" w:rsidRDefault="00CA20CC" w:rsidP="00E1323A">
            <w:pPr>
              <w:rPr>
                <w:rFonts w:ascii="Arial" w:hAnsi="Arial" w:cs="Arial"/>
                <w:bCs/>
                <w:sz w:val="20"/>
                <w:szCs w:val="20"/>
              </w:rPr>
            </w:pPr>
            <w:r>
              <w:rPr>
                <w:rFonts w:ascii="Arial" w:hAnsi="Arial" w:cs="Arial"/>
                <w:sz w:val="20"/>
                <w:szCs w:val="20"/>
              </w:rPr>
              <w:t>Numbers of notifications /referrals to social care/community from D2A pathway</w:t>
            </w:r>
            <w:r>
              <w:rPr>
                <w:rFonts w:ascii="Arial" w:hAnsi="Arial" w:cs="Arial"/>
                <w:bCs/>
                <w:sz w:val="20"/>
                <w:szCs w:val="20"/>
              </w:rPr>
              <w:t xml:space="preserve"> </w:t>
            </w:r>
          </w:p>
          <w:p w:rsidR="00CA20CC" w:rsidRDefault="00CA20CC" w:rsidP="00E1323A">
            <w:pPr>
              <w:rPr>
                <w:rFonts w:ascii="Arial" w:hAnsi="Arial" w:cs="Arial"/>
                <w:bCs/>
                <w:sz w:val="20"/>
                <w:szCs w:val="20"/>
              </w:rPr>
            </w:pPr>
          </w:p>
          <w:p w:rsidR="00CA20CC" w:rsidRDefault="00CA20CC" w:rsidP="00E1323A">
            <w:pPr>
              <w:rPr>
                <w:rFonts w:ascii="Arial" w:hAnsi="Arial" w:cs="Arial"/>
                <w:bCs/>
                <w:sz w:val="20"/>
                <w:szCs w:val="20"/>
              </w:rPr>
            </w:pPr>
          </w:p>
          <w:p w:rsidR="00E1323A" w:rsidRDefault="00E1323A" w:rsidP="00E1323A">
            <w:pPr>
              <w:rPr>
                <w:rFonts w:ascii="Arial" w:hAnsi="Arial" w:cs="Arial"/>
                <w:bCs/>
                <w:sz w:val="20"/>
                <w:szCs w:val="20"/>
              </w:rPr>
            </w:pPr>
          </w:p>
          <w:p w:rsidR="00E1323A" w:rsidRDefault="00E1323A" w:rsidP="00E1323A">
            <w:pPr>
              <w:rPr>
                <w:rFonts w:ascii="Arial" w:hAnsi="Arial" w:cs="Arial"/>
                <w:bCs/>
                <w:sz w:val="20"/>
                <w:szCs w:val="20"/>
              </w:rPr>
            </w:pPr>
          </w:p>
          <w:p w:rsidR="00E1323A" w:rsidRDefault="00E1323A" w:rsidP="00E1323A">
            <w:pPr>
              <w:rPr>
                <w:rFonts w:ascii="Arial" w:hAnsi="Arial" w:cs="Arial"/>
                <w:bCs/>
                <w:sz w:val="20"/>
                <w:szCs w:val="20"/>
              </w:rPr>
            </w:pPr>
          </w:p>
          <w:p w:rsidR="00E1323A" w:rsidRDefault="00E1323A" w:rsidP="00E1323A">
            <w:pPr>
              <w:rPr>
                <w:rFonts w:ascii="Arial" w:hAnsi="Arial" w:cs="Arial"/>
                <w:bCs/>
                <w:sz w:val="20"/>
                <w:szCs w:val="20"/>
              </w:rPr>
            </w:pPr>
          </w:p>
          <w:p w:rsidR="00E1323A" w:rsidRDefault="00E1323A" w:rsidP="00E1323A">
            <w:pPr>
              <w:rPr>
                <w:rFonts w:ascii="Arial" w:hAnsi="Arial" w:cs="Arial"/>
                <w:bCs/>
                <w:sz w:val="20"/>
                <w:szCs w:val="20"/>
              </w:rPr>
            </w:pPr>
          </w:p>
          <w:p w:rsidR="00E1323A" w:rsidRDefault="00E1323A" w:rsidP="00E1323A">
            <w:pPr>
              <w:rPr>
                <w:rFonts w:ascii="Arial" w:hAnsi="Arial" w:cs="Arial"/>
                <w:bCs/>
                <w:sz w:val="20"/>
                <w:szCs w:val="20"/>
              </w:rPr>
            </w:pPr>
          </w:p>
          <w:p w:rsidR="00E1323A" w:rsidRDefault="00E1323A" w:rsidP="00E1323A">
            <w:pPr>
              <w:rPr>
                <w:rFonts w:ascii="Arial" w:hAnsi="Arial" w:cs="Arial"/>
                <w:bCs/>
                <w:sz w:val="20"/>
                <w:szCs w:val="20"/>
              </w:rPr>
            </w:pPr>
          </w:p>
          <w:p w:rsidR="00E1323A" w:rsidRDefault="00E1323A" w:rsidP="00E1323A">
            <w:pPr>
              <w:rPr>
                <w:rFonts w:ascii="Arial" w:hAnsi="Arial" w:cs="Arial"/>
                <w:bCs/>
                <w:sz w:val="20"/>
                <w:szCs w:val="20"/>
              </w:rPr>
            </w:pPr>
          </w:p>
          <w:p w:rsidR="00E1323A" w:rsidRDefault="00E1323A" w:rsidP="00E1323A">
            <w:pPr>
              <w:rPr>
                <w:rFonts w:ascii="Arial" w:hAnsi="Arial" w:cs="Arial"/>
                <w:bCs/>
                <w:sz w:val="20"/>
                <w:szCs w:val="20"/>
              </w:rPr>
            </w:pPr>
          </w:p>
        </w:tc>
        <w:tc>
          <w:tcPr>
            <w:tcW w:w="4535" w:type="dxa"/>
            <w:tcBorders>
              <w:top w:val="single" w:sz="12" w:space="0" w:color="auto"/>
              <w:left w:val="single" w:sz="2" w:space="0" w:color="auto"/>
              <w:bottom w:val="single" w:sz="12" w:space="0" w:color="auto"/>
              <w:right w:val="single" w:sz="12" w:space="0" w:color="auto"/>
            </w:tcBorders>
            <w:shd w:val="clear" w:color="auto" w:fill="D99594" w:themeFill="accent2" w:themeFillTint="99"/>
          </w:tcPr>
          <w:p w:rsidR="00CA20CC" w:rsidRDefault="00CA20CC" w:rsidP="00E1323A">
            <w:pPr>
              <w:rPr>
                <w:rFonts w:ascii="Arial" w:hAnsi="Arial" w:cs="Arial"/>
                <w:bCs/>
                <w:sz w:val="20"/>
                <w:szCs w:val="20"/>
              </w:rPr>
            </w:pPr>
            <w:r>
              <w:rPr>
                <w:rFonts w:ascii="Arial" w:hAnsi="Arial" w:cs="Arial"/>
                <w:bCs/>
                <w:sz w:val="20"/>
                <w:szCs w:val="20"/>
              </w:rPr>
              <w:t xml:space="preserve">Discharge from across the system (A+E, Acute Medical Unit, Medical Assessment Unit, Emergency Ambulatory Care, </w:t>
            </w:r>
            <w:proofErr w:type="gramStart"/>
            <w:r>
              <w:rPr>
                <w:rFonts w:ascii="Arial" w:hAnsi="Arial" w:cs="Arial"/>
                <w:bCs/>
                <w:sz w:val="20"/>
                <w:szCs w:val="20"/>
              </w:rPr>
              <w:t>Base</w:t>
            </w:r>
            <w:proofErr w:type="gramEnd"/>
            <w:r>
              <w:rPr>
                <w:rFonts w:ascii="Arial" w:hAnsi="Arial" w:cs="Arial"/>
                <w:bCs/>
                <w:sz w:val="20"/>
                <w:szCs w:val="20"/>
              </w:rPr>
              <w:t xml:space="preserve"> Wards) to usual place of residence.</w:t>
            </w:r>
          </w:p>
          <w:p w:rsidR="00CA20CC" w:rsidRDefault="00CA20CC" w:rsidP="00E1323A">
            <w:pPr>
              <w:rPr>
                <w:rFonts w:ascii="Arial" w:hAnsi="Arial" w:cs="Arial"/>
                <w:bCs/>
                <w:sz w:val="20"/>
                <w:szCs w:val="20"/>
              </w:rPr>
            </w:pPr>
          </w:p>
        </w:tc>
      </w:tr>
      <w:tr w:rsidR="00F237DA" w:rsidTr="00F237DA">
        <w:trPr>
          <w:cantSplit/>
          <w:trHeight w:val="546"/>
          <w:tblHeader/>
        </w:trPr>
        <w:tc>
          <w:tcPr>
            <w:tcW w:w="2092" w:type="dxa"/>
            <w:tcBorders>
              <w:top w:val="single" w:sz="12" w:space="0" w:color="auto"/>
              <w:left w:val="single" w:sz="12" w:space="0" w:color="auto"/>
              <w:bottom w:val="single" w:sz="12" w:space="0" w:color="auto"/>
              <w:right w:val="single" w:sz="2" w:space="0" w:color="auto"/>
            </w:tcBorders>
            <w:shd w:val="clear" w:color="auto" w:fill="FFFFFF" w:themeFill="background1"/>
          </w:tcPr>
          <w:p w:rsidR="00F237DA" w:rsidRDefault="00F237DA" w:rsidP="00F237DA">
            <w:pPr>
              <w:rPr>
                <w:rFonts w:ascii="Arial" w:hAnsi="Arial" w:cs="Arial"/>
                <w:b/>
                <w:bCs/>
                <w:sz w:val="20"/>
                <w:szCs w:val="20"/>
              </w:rPr>
            </w:pPr>
          </w:p>
        </w:tc>
        <w:tc>
          <w:tcPr>
            <w:tcW w:w="3543" w:type="dxa"/>
            <w:tcBorders>
              <w:top w:val="single" w:sz="12" w:space="0" w:color="auto"/>
              <w:left w:val="single" w:sz="2" w:space="0" w:color="auto"/>
              <w:bottom w:val="single" w:sz="12" w:space="0" w:color="auto"/>
              <w:right w:val="single" w:sz="2" w:space="0" w:color="auto"/>
            </w:tcBorders>
            <w:shd w:val="clear" w:color="auto" w:fill="FFFFFF" w:themeFill="background1"/>
          </w:tcPr>
          <w:p w:rsidR="00F237DA" w:rsidRDefault="00F237DA" w:rsidP="00F237DA">
            <w:pPr>
              <w:rPr>
                <w:rFonts w:ascii="Arial" w:hAnsi="Arial" w:cs="Arial"/>
                <w:b/>
                <w:bCs/>
                <w:sz w:val="20"/>
                <w:szCs w:val="20"/>
              </w:rPr>
            </w:pPr>
            <w:r>
              <w:rPr>
                <w:rFonts w:ascii="Arial" w:hAnsi="Arial" w:cs="Arial"/>
                <w:b/>
                <w:bCs/>
                <w:sz w:val="20"/>
                <w:szCs w:val="20"/>
              </w:rPr>
              <w:t>Process Measures</w:t>
            </w:r>
          </w:p>
        </w:tc>
        <w:tc>
          <w:tcPr>
            <w:tcW w:w="4535" w:type="dxa"/>
            <w:tcBorders>
              <w:top w:val="single" w:sz="12" w:space="0" w:color="auto"/>
              <w:left w:val="single" w:sz="2" w:space="0" w:color="auto"/>
              <w:bottom w:val="single" w:sz="12" w:space="0" w:color="auto"/>
              <w:right w:val="single" w:sz="12" w:space="0" w:color="auto"/>
            </w:tcBorders>
            <w:shd w:val="clear" w:color="auto" w:fill="FFFFFF" w:themeFill="background1"/>
          </w:tcPr>
          <w:p w:rsidR="00F237DA" w:rsidRDefault="00F237DA" w:rsidP="00F237DA">
            <w:pPr>
              <w:rPr>
                <w:rFonts w:ascii="Arial" w:hAnsi="Arial" w:cs="Arial"/>
                <w:b/>
                <w:bCs/>
                <w:sz w:val="20"/>
                <w:szCs w:val="20"/>
              </w:rPr>
            </w:pPr>
            <w:r>
              <w:rPr>
                <w:rFonts w:ascii="Arial" w:hAnsi="Arial" w:cs="Arial"/>
                <w:b/>
                <w:bCs/>
                <w:sz w:val="20"/>
                <w:szCs w:val="20"/>
              </w:rPr>
              <w:t>Outcome Measures</w:t>
            </w:r>
          </w:p>
          <w:p w:rsidR="00F237DA" w:rsidRDefault="00F237DA" w:rsidP="00F237DA">
            <w:pPr>
              <w:rPr>
                <w:rFonts w:ascii="Arial" w:hAnsi="Arial" w:cs="Arial"/>
                <w:b/>
                <w:bCs/>
                <w:sz w:val="20"/>
                <w:szCs w:val="20"/>
              </w:rPr>
            </w:pPr>
          </w:p>
        </w:tc>
      </w:tr>
      <w:tr w:rsidR="00F237DA" w:rsidTr="00F237DA">
        <w:trPr>
          <w:cantSplit/>
          <w:trHeight w:val="546"/>
          <w:tblHeader/>
        </w:trPr>
        <w:tc>
          <w:tcPr>
            <w:tcW w:w="2092" w:type="dxa"/>
            <w:vMerge w:val="restart"/>
            <w:tcBorders>
              <w:top w:val="single" w:sz="12" w:space="0" w:color="auto"/>
              <w:left w:val="single" w:sz="12" w:space="0" w:color="auto"/>
              <w:bottom w:val="single" w:sz="12" w:space="0" w:color="auto"/>
              <w:right w:val="single" w:sz="2" w:space="0" w:color="auto"/>
            </w:tcBorders>
            <w:shd w:val="clear" w:color="auto" w:fill="FFFFFF" w:themeFill="background1"/>
            <w:hideMark/>
          </w:tcPr>
          <w:p w:rsidR="00F237DA" w:rsidRDefault="00F237DA" w:rsidP="00F237DA">
            <w:pPr>
              <w:rPr>
                <w:rFonts w:ascii="Arial" w:hAnsi="Arial" w:cs="Arial"/>
                <w:b/>
                <w:bCs/>
                <w:sz w:val="20"/>
                <w:szCs w:val="20"/>
              </w:rPr>
            </w:pPr>
            <w:r>
              <w:rPr>
                <w:rFonts w:ascii="Arial" w:hAnsi="Arial" w:cs="Arial"/>
                <w:b/>
                <w:bCs/>
                <w:sz w:val="20"/>
                <w:szCs w:val="20"/>
              </w:rPr>
              <w:t>Improved  occupancy and flow within the acute hospital</w:t>
            </w:r>
          </w:p>
        </w:tc>
        <w:tc>
          <w:tcPr>
            <w:tcW w:w="3543" w:type="dxa"/>
            <w:tcBorders>
              <w:top w:val="single" w:sz="12" w:space="0" w:color="auto"/>
              <w:left w:val="single" w:sz="2" w:space="0" w:color="auto"/>
              <w:bottom w:val="nil"/>
              <w:right w:val="single" w:sz="2" w:space="0" w:color="auto"/>
            </w:tcBorders>
            <w:shd w:val="clear" w:color="auto" w:fill="D99594" w:themeFill="accent2" w:themeFillTint="99"/>
            <w:hideMark/>
          </w:tcPr>
          <w:p w:rsidR="00F237DA" w:rsidRDefault="00F237DA" w:rsidP="00F237DA">
            <w:pPr>
              <w:rPr>
                <w:rFonts w:ascii="Arial" w:hAnsi="Arial" w:cs="Arial"/>
                <w:bCs/>
                <w:sz w:val="20"/>
                <w:szCs w:val="20"/>
              </w:rPr>
            </w:pPr>
            <w:r>
              <w:rPr>
                <w:rFonts w:ascii="Arial" w:hAnsi="Arial" w:cs="Arial"/>
                <w:bCs/>
                <w:sz w:val="20"/>
                <w:szCs w:val="20"/>
              </w:rPr>
              <w:t>Safer Care Bundle implementation</w:t>
            </w:r>
            <w:r>
              <w:rPr>
                <w:rStyle w:val="FootnoteReference"/>
                <w:rFonts w:ascii="Arial" w:hAnsi="Arial" w:cs="Arial"/>
                <w:bCs/>
                <w:sz w:val="20"/>
                <w:szCs w:val="20"/>
              </w:rPr>
              <w:footnoteReference w:id="1"/>
            </w:r>
          </w:p>
        </w:tc>
        <w:tc>
          <w:tcPr>
            <w:tcW w:w="4535" w:type="dxa"/>
            <w:vMerge w:val="restart"/>
            <w:tcBorders>
              <w:top w:val="single" w:sz="12" w:space="0" w:color="auto"/>
              <w:left w:val="single" w:sz="2" w:space="0" w:color="auto"/>
              <w:bottom w:val="nil"/>
              <w:right w:val="single" w:sz="12" w:space="0" w:color="auto"/>
            </w:tcBorders>
            <w:shd w:val="clear" w:color="auto" w:fill="C2D69B" w:themeFill="accent3" w:themeFillTint="99"/>
          </w:tcPr>
          <w:p w:rsidR="00F237DA" w:rsidRDefault="00F237DA" w:rsidP="00F237DA">
            <w:pPr>
              <w:rPr>
                <w:rFonts w:ascii="Arial" w:hAnsi="Arial" w:cs="Arial"/>
                <w:bCs/>
                <w:sz w:val="20"/>
                <w:szCs w:val="20"/>
              </w:rPr>
            </w:pPr>
            <w:r>
              <w:rPr>
                <w:rFonts w:ascii="Arial" w:hAnsi="Arial" w:cs="Arial"/>
                <w:bCs/>
                <w:sz w:val="20"/>
                <w:szCs w:val="20"/>
              </w:rPr>
              <w:t xml:space="preserve">Number of beds occupied by stranded adult patients defined as those with a </w:t>
            </w:r>
            <w:proofErr w:type="spellStart"/>
            <w:r>
              <w:rPr>
                <w:rFonts w:ascii="Arial" w:hAnsi="Arial" w:cs="Arial"/>
                <w:bCs/>
                <w:sz w:val="20"/>
                <w:szCs w:val="20"/>
              </w:rPr>
              <w:t>LoS</w:t>
            </w:r>
            <w:proofErr w:type="spellEnd"/>
            <w:r>
              <w:rPr>
                <w:rFonts w:ascii="Arial" w:hAnsi="Arial" w:cs="Arial"/>
                <w:bCs/>
                <w:sz w:val="20"/>
                <w:szCs w:val="20"/>
              </w:rPr>
              <w:t xml:space="preserve"> of 7 or more who are admitted via A+E</w:t>
            </w:r>
          </w:p>
          <w:p w:rsidR="00F237DA" w:rsidRDefault="00F237DA" w:rsidP="00F237DA">
            <w:pPr>
              <w:rPr>
                <w:rFonts w:ascii="Arial" w:hAnsi="Arial" w:cs="Arial"/>
                <w:bCs/>
                <w:sz w:val="20"/>
                <w:szCs w:val="20"/>
              </w:rPr>
            </w:pPr>
          </w:p>
          <w:p w:rsidR="00F237DA" w:rsidRDefault="00F237DA" w:rsidP="00F237DA">
            <w:pPr>
              <w:rPr>
                <w:rFonts w:ascii="Arial" w:hAnsi="Arial" w:cs="Arial"/>
                <w:bCs/>
                <w:sz w:val="20"/>
                <w:szCs w:val="20"/>
              </w:rPr>
            </w:pPr>
            <w:r>
              <w:rPr>
                <w:rFonts w:ascii="Arial" w:hAnsi="Arial" w:cs="Arial"/>
                <w:bCs/>
                <w:sz w:val="20"/>
                <w:szCs w:val="20"/>
              </w:rPr>
              <w:t xml:space="preserve">Discharge to usual place of residence from across the system </w:t>
            </w:r>
          </w:p>
          <w:p w:rsidR="00F237DA" w:rsidRDefault="00F237DA" w:rsidP="00F237DA">
            <w:pPr>
              <w:rPr>
                <w:rFonts w:ascii="Arial" w:hAnsi="Arial" w:cs="Arial"/>
                <w:bCs/>
                <w:sz w:val="20"/>
                <w:szCs w:val="20"/>
              </w:rPr>
            </w:pPr>
          </w:p>
          <w:p w:rsidR="00F237DA" w:rsidRDefault="00F237DA" w:rsidP="00F237DA">
            <w:pPr>
              <w:rPr>
                <w:rFonts w:ascii="Arial" w:hAnsi="Arial" w:cs="Arial"/>
                <w:bCs/>
                <w:sz w:val="20"/>
                <w:szCs w:val="20"/>
              </w:rPr>
            </w:pPr>
            <w:r>
              <w:rPr>
                <w:rFonts w:ascii="Arial" w:hAnsi="Arial" w:cs="Arial"/>
                <w:bCs/>
                <w:sz w:val="20"/>
                <w:szCs w:val="20"/>
              </w:rPr>
              <w:t xml:space="preserve">Discharge to usual place of residence on the day of their admission or the following day </w:t>
            </w:r>
          </w:p>
          <w:p w:rsidR="00F237DA" w:rsidRDefault="00F237DA" w:rsidP="00F237DA">
            <w:pPr>
              <w:rPr>
                <w:rFonts w:ascii="Arial" w:hAnsi="Arial" w:cs="Arial"/>
                <w:bCs/>
                <w:sz w:val="20"/>
                <w:szCs w:val="20"/>
              </w:rPr>
            </w:pPr>
          </w:p>
          <w:p w:rsidR="00F237DA" w:rsidRDefault="00F237DA" w:rsidP="00F237DA">
            <w:pPr>
              <w:rPr>
                <w:rFonts w:ascii="Arial" w:hAnsi="Arial" w:cs="Arial"/>
                <w:bCs/>
                <w:sz w:val="20"/>
                <w:szCs w:val="20"/>
              </w:rPr>
            </w:pPr>
            <w:r>
              <w:rPr>
                <w:rFonts w:ascii="Arial" w:hAnsi="Arial" w:cs="Arial"/>
                <w:bCs/>
                <w:sz w:val="20"/>
                <w:szCs w:val="20"/>
              </w:rPr>
              <w:t>Reduced hospital related falls</w:t>
            </w:r>
          </w:p>
          <w:p w:rsidR="00F237DA" w:rsidRDefault="00F237DA" w:rsidP="00F237DA">
            <w:pPr>
              <w:jc w:val="right"/>
              <w:rPr>
                <w:rFonts w:ascii="Arial" w:hAnsi="Arial" w:cs="Arial"/>
                <w:bCs/>
                <w:sz w:val="20"/>
                <w:szCs w:val="20"/>
              </w:rPr>
            </w:pPr>
          </w:p>
          <w:p w:rsidR="00F237DA" w:rsidRDefault="00F237DA" w:rsidP="00F237DA">
            <w:pPr>
              <w:rPr>
                <w:rFonts w:ascii="Arial" w:hAnsi="Arial" w:cs="Arial"/>
                <w:bCs/>
                <w:sz w:val="20"/>
                <w:szCs w:val="20"/>
              </w:rPr>
            </w:pPr>
            <w:r>
              <w:rPr>
                <w:rFonts w:ascii="Arial" w:hAnsi="Arial" w:cs="Arial"/>
                <w:bCs/>
                <w:sz w:val="20"/>
                <w:szCs w:val="20"/>
              </w:rPr>
              <w:t>Reduced hospital acquired infections</w:t>
            </w:r>
          </w:p>
          <w:p w:rsidR="00F237DA" w:rsidRDefault="00F237DA" w:rsidP="00F237DA">
            <w:pPr>
              <w:rPr>
                <w:rFonts w:ascii="Arial" w:hAnsi="Arial" w:cs="Arial"/>
                <w:bCs/>
                <w:sz w:val="20"/>
                <w:szCs w:val="20"/>
              </w:rPr>
            </w:pPr>
          </w:p>
        </w:tc>
      </w:tr>
      <w:tr w:rsidR="00F237DA" w:rsidTr="00E1323A">
        <w:trPr>
          <w:cantSplit/>
          <w:trHeight w:val="2096"/>
          <w:tblHeader/>
        </w:trPr>
        <w:tc>
          <w:tcPr>
            <w:tcW w:w="2092" w:type="dxa"/>
            <w:vMerge/>
            <w:tcBorders>
              <w:top w:val="single" w:sz="12" w:space="0" w:color="auto"/>
              <w:left w:val="single" w:sz="12" w:space="0" w:color="auto"/>
              <w:bottom w:val="single" w:sz="12" w:space="0" w:color="auto"/>
              <w:right w:val="single" w:sz="2" w:space="0" w:color="auto"/>
            </w:tcBorders>
            <w:vAlign w:val="center"/>
            <w:hideMark/>
          </w:tcPr>
          <w:p w:rsidR="00F237DA" w:rsidRDefault="00F237DA" w:rsidP="00F237DA">
            <w:pPr>
              <w:rPr>
                <w:rFonts w:ascii="Arial" w:hAnsi="Arial" w:cs="Arial"/>
                <w:b/>
                <w:bCs/>
                <w:sz w:val="20"/>
                <w:szCs w:val="20"/>
              </w:rPr>
            </w:pPr>
          </w:p>
        </w:tc>
        <w:tc>
          <w:tcPr>
            <w:tcW w:w="3543" w:type="dxa"/>
            <w:vMerge w:val="restart"/>
            <w:tcBorders>
              <w:top w:val="nil"/>
              <w:left w:val="single" w:sz="2" w:space="0" w:color="auto"/>
              <w:bottom w:val="single" w:sz="12" w:space="0" w:color="auto"/>
              <w:right w:val="single" w:sz="2" w:space="0" w:color="auto"/>
            </w:tcBorders>
            <w:shd w:val="clear" w:color="auto" w:fill="C2D69B" w:themeFill="accent3" w:themeFillTint="99"/>
          </w:tcPr>
          <w:p w:rsidR="00F237DA" w:rsidRDefault="00F237DA" w:rsidP="00F237DA">
            <w:pPr>
              <w:rPr>
                <w:rFonts w:ascii="Arial" w:hAnsi="Arial" w:cs="Arial"/>
                <w:bCs/>
                <w:sz w:val="20"/>
                <w:szCs w:val="20"/>
              </w:rPr>
            </w:pPr>
            <w:r>
              <w:rPr>
                <w:rFonts w:ascii="Arial" w:hAnsi="Arial" w:cs="Arial"/>
                <w:bCs/>
                <w:sz w:val="20"/>
                <w:szCs w:val="20"/>
              </w:rPr>
              <w:t xml:space="preserve">Increased number of discharges </w:t>
            </w:r>
          </w:p>
          <w:p w:rsidR="00F237DA" w:rsidRDefault="00F237DA" w:rsidP="00F237DA">
            <w:pPr>
              <w:rPr>
                <w:rFonts w:ascii="Arial" w:hAnsi="Arial" w:cs="Arial"/>
                <w:bCs/>
                <w:sz w:val="20"/>
                <w:szCs w:val="20"/>
              </w:rPr>
            </w:pPr>
          </w:p>
          <w:p w:rsidR="00F237DA" w:rsidRDefault="00F237DA" w:rsidP="00F237DA">
            <w:pPr>
              <w:rPr>
                <w:rFonts w:ascii="Arial" w:hAnsi="Arial" w:cs="Arial"/>
                <w:bCs/>
                <w:sz w:val="20"/>
                <w:szCs w:val="20"/>
              </w:rPr>
            </w:pPr>
            <w:r>
              <w:rPr>
                <w:rFonts w:ascii="Arial" w:hAnsi="Arial" w:cs="Arial"/>
                <w:bCs/>
                <w:sz w:val="20"/>
                <w:szCs w:val="20"/>
              </w:rPr>
              <w:t>Reduction in excess bed days</w:t>
            </w:r>
          </w:p>
          <w:p w:rsidR="00F237DA" w:rsidRDefault="00F237DA" w:rsidP="00F237DA">
            <w:pPr>
              <w:rPr>
                <w:rFonts w:ascii="Arial" w:hAnsi="Arial" w:cs="Arial"/>
                <w:bCs/>
                <w:sz w:val="20"/>
                <w:szCs w:val="20"/>
              </w:rPr>
            </w:pPr>
          </w:p>
          <w:p w:rsidR="00F237DA" w:rsidRDefault="00F237DA" w:rsidP="00F237DA">
            <w:pPr>
              <w:rPr>
                <w:rFonts w:ascii="Arial" w:hAnsi="Arial" w:cs="Arial"/>
                <w:bCs/>
                <w:sz w:val="20"/>
                <w:szCs w:val="20"/>
              </w:rPr>
            </w:pPr>
            <w:r>
              <w:rPr>
                <w:rFonts w:ascii="Arial" w:hAnsi="Arial" w:cs="Arial"/>
                <w:bCs/>
                <w:sz w:val="20"/>
                <w:szCs w:val="20"/>
              </w:rPr>
              <w:t>Reduced number of ward transfers</w:t>
            </w:r>
          </w:p>
        </w:tc>
        <w:tc>
          <w:tcPr>
            <w:tcW w:w="4535" w:type="dxa"/>
            <w:vMerge/>
            <w:tcBorders>
              <w:top w:val="single" w:sz="12" w:space="0" w:color="auto"/>
              <w:left w:val="single" w:sz="2" w:space="0" w:color="auto"/>
              <w:bottom w:val="nil"/>
              <w:right w:val="single" w:sz="12" w:space="0" w:color="auto"/>
            </w:tcBorders>
            <w:vAlign w:val="center"/>
            <w:hideMark/>
          </w:tcPr>
          <w:p w:rsidR="00F237DA" w:rsidRDefault="00F237DA" w:rsidP="00F237DA">
            <w:pPr>
              <w:rPr>
                <w:rFonts w:ascii="Arial" w:hAnsi="Arial" w:cs="Arial"/>
                <w:bCs/>
                <w:sz w:val="20"/>
                <w:szCs w:val="20"/>
              </w:rPr>
            </w:pPr>
          </w:p>
        </w:tc>
      </w:tr>
      <w:tr w:rsidR="00F237DA" w:rsidTr="00E1323A">
        <w:trPr>
          <w:cantSplit/>
          <w:trHeight w:val="681"/>
          <w:tblHeader/>
        </w:trPr>
        <w:tc>
          <w:tcPr>
            <w:tcW w:w="2092" w:type="dxa"/>
            <w:vMerge/>
            <w:tcBorders>
              <w:top w:val="single" w:sz="12" w:space="0" w:color="auto"/>
              <w:left w:val="single" w:sz="12" w:space="0" w:color="auto"/>
              <w:bottom w:val="single" w:sz="12" w:space="0" w:color="auto"/>
              <w:right w:val="single" w:sz="2" w:space="0" w:color="auto"/>
            </w:tcBorders>
            <w:vAlign w:val="center"/>
            <w:hideMark/>
          </w:tcPr>
          <w:p w:rsidR="00F237DA" w:rsidRDefault="00F237DA" w:rsidP="00F237DA">
            <w:pPr>
              <w:rPr>
                <w:rFonts w:ascii="Arial" w:hAnsi="Arial" w:cs="Arial"/>
                <w:b/>
                <w:bCs/>
                <w:sz w:val="20"/>
                <w:szCs w:val="20"/>
              </w:rPr>
            </w:pPr>
          </w:p>
        </w:tc>
        <w:tc>
          <w:tcPr>
            <w:tcW w:w="3543" w:type="dxa"/>
            <w:vMerge/>
            <w:tcBorders>
              <w:top w:val="nil"/>
              <w:left w:val="single" w:sz="2" w:space="0" w:color="auto"/>
              <w:bottom w:val="single" w:sz="12" w:space="0" w:color="auto"/>
              <w:right w:val="single" w:sz="2" w:space="0" w:color="auto"/>
            </w:tcBorders>
            <w:vAlign w:val="center"/>
            <w:hideMark/>
          </w:tcPr>
          <w:p w:rsidR="00F237DA" w:rsidRDefault="00F237DA" w:rsidP="00F237DA">
            <w:pPr>
              <w:rPr>
                <w:rFonts w:ascii="Arial" w:hAnsi="Arial" w:cs="Arial"/>
                <w:bCs/>
                <w:sz w:val="20"/>
                <w:szCs w:val="20"/>
              </w:rPr>
            </w:pPr>
          </w:p>
        </w:tc>
        <w:tc>
          <w:tcPr>
            <w:tcW w:w="4535" w:type="dxa"/>
            <w:tcBorders>
              <w:top w:val="nil"/>
              <w:left w:val="single" w:sz="2" w:space="0" w:color="auto"/>
              <w:bottom w:val="single" w:sz="12" w:space="0" w:color="auto"/>
              <w:right w:val="single" w:sz="12" w:space="0" w:color="auto"/>
            </w:tcBorders>
            <w:shd w:val="clear" w:color="auto" w:fill="D99594" w:themeFill="accent2" w:themeFillTint="99"/>
          </w:tcPr>
          <w:p w:rsidR="00F237DA" w:rsidRPr="00E1323A" w:rsidRDefault="00F237DA" w:rsidP="00F237DA">
            <w:pPr>
              <w:rPr>
                <w:rFonts w:ascii="Arial" w:hAnsi="Arial" w:cs="Arial"/>
                <w:sz w:val="20"/>
                <w:szCs w:val="20"/>
              </w:rPr>
            </w:pPr>
            <w:r>
              <w:rPr>
                <w:rFonts w:ascii="Arial" w:hAnsi="Arial" w:cs="Arial"/>
                <w:sz w:val="20"/>
                <w:szCs w:val="20"/>
              </w:rPr>
              <w:t>Size of care packages (in both the short and long term)</w:t>
            </w:r>
          </w:p>
        </w:tc>
      </w:tr>
      <w:tr w:rsidR="00F237DA" w:rsidTr="00E1323A">
        <w:trPr>
          <w:cantSplit/>
          <w:trHeight w:val="496"/>
          <w:tblHeader/>
        </w:trPr>
        <w:tc>
          <w:tcPr>
            <w:tcW w:w="2092" w:type="dxa"/>
            <w:tcBorders>
              <w:top w:val="single" w:sz="12" w:space="0" w:color="auto"/>
              <w:left w:val="single" w:sz="12" w:space="0" w:color="auto"/>
              <w:bottom w:val="single" w:sz="12" w:space="0" w:color="auto"/>
              <w:right w:val="single" w:sz="2" w:space="0" w:color="auto"/>
            </w:tcBorders>
            <w:shd w:val="clear" w:color="auto" w:fill="FFFFFF" w:themeFill="background1"/>
          </w:tcPr>
          <w:p w:rsidR="00F237DA" w:rsidRDefault="00F237DA" w:rsidP="00F237DA">
            <w:pPr>
              <w:rPr>
                <w:rFonts w:ascii="Arial" w:hAnsi="Arial" w:cs="Arial"/>
                <w:b/>
                <w:bCs/>
                <w:sz w:val="20"/>
                <w:szCs w:val="20"/>
              </w:rPr>
            </w:pPr>
            <w:r>
              <w:rPr>
                <w:rFonts w:ascii="Arial" w:hAnsi="Arial" w:cs="Arial"/>
                <w:b/>
                <w:bCs/>
                <w:sz w:val="20"/>
                <w:szCs w:val="20"/>
              </w:rPr>
              <w:t xml:space="preserve">Improved patient/carer experience </w:t>
            </w:r>
          </w:p>
          <w:p w:rsidR="00F237DA" w:rsidRDefault="00F237DA" w:rsidP="00F237DA">
            <w:pPr>
              <w:rPr>
                <w:rFonts w:ascii="Arial" w:hAnsi="Arial" w:cs="Arial"/>
                <w:b/>
                <w:bCs/>
                <w:sz w:val="20"/>
                <w:szCs w:val="20"/>
              </w:rPr>
            </w:pPr>
          </w:p>
        </w:tc>
        <w:tc>
          <w:tcPr>
            <w:tcW w:w="3543" w:type="dxa"/>
            <w:tcBorders>
              <w:top w:val="single" w:sz="12" w:space="0" w:color="auto"/>
              <w:left w:val="single" w:sz="2" w:space="0" w:color="auto"/>
              <w:bottom w:val="single" w:sz="12" w:space="0" w:color="auto"/>
              <w:right w:val="single" w:sz="2" w:space="0" w:color="auto"/>
            </w:tcBorders>
            <w:shd w:val="clear" w:color="auto" w:fill="D99594" w:themeFill="accent2" w:themeFillTint="99"/>
            <w:hideMark/>
          </w:tcPr>
          <w:p w:rsidR="00F237DA" w:rsidRDefault="00F237DA" w:rsidP="00F237DA">
            <w:pPr>
              <w:rPr>
                <w:rFonts w:ascii="Arial" w:hAnsi="Arial" w:cs="Arial"/>
                <w:bCs/>
                <w:sz w:val="20"/>
                <w:szCs w:val="20"/>
              </w:rPr>
            </w:pPr>
            <w:r>
              <w:rPr>
                <w:rFonts w:ascii="Arial" w:hAnsi="Arial" w:cs="Arial"/>
                <w:bCs/>
                <w:sz w:val="20"/>
                <w:szCs w:val="20"/>
              </w:rPr>
              <w:t>Process in place to record/monitor patient experience</w:t>
            </w:r>
          </w:p>
        </w:tc>
        <w:tc>
          <w:tcPr>
            <w:tcW w:w="4535" w:type="dxa"/>
            <w:tcBorders>
              <w:top w:val="single" w:sz="12" w:space="0" w:color="auto"/>
              <w:left w:val="single" w:sz="2" w:space="0" w:color="auto"/>
              <w:bottom w:val="single" w:sz="12" w:space="0" w:color="auto"/>
              <w:right w:val="single" w:sz="12" w:space="0" w:color="auto"/>
            </w:tcBorders>
            <w:shd w:val="clear" w:color="auto" w:fill="D99594" w:themeFill="accent2" w:themeFillTint="99"/>
            <w:hideMark/>
          </w:tcPr>
          <w:p w:rsidR="00F237DA" w:rsidRDefault="00F237DA" w:rsidP="00F237DA">
            <w:pPr>
              <w:rPr>
                <w:rFonts w:ascii="Arial" w:hAnsi="Arial" w:cs="Arial"/>
                <w:bCs/>
                <w:sz w:val="20"/>
                <w:szCs w:val="20"/>
              </w:rPr>
            </w:pPr>
            <w:r>
              <w:rPr>
                <w:rFonts w:ascii="Arial" w:hAnsi="Arial" w:cs="Arial"/>
                <w:bCs/>
                <w:sz w:val="20"/>
                <w:szCs w:val="20"/>
              </w:rPr>
              <w:t>Patients and carers reporting a positive experience of the service- Proposed questions to include:</w:t>
            </w:r>
          </w:p>
          <w:p w:rsidR="00F237DA" w:rsidRDefault="00F237DA" w:rsidP="00F237DA">
            <w:pPr>
              <w:rPr>
                <w:rFonts w:ascii="Arial" w:hAnsi="Arial" w:cs="Arial"/>
                <w:bCs/>
                <w:sz w:val="20"/>
                <w:szCs w:val="20"/>
              </w:rPr>
            </w:pPr>
            <w:r>
              <w:rPr>
                <w:rFonts w:ascii="Arial" w:hAnsi="Arial" w:cs="Arial"/>
                <w:bCs/>
                <w:sz w:val="20"/>
                <w:szCs w:val="20"/>
              </w:rPr>
              <w:t>Q1 What was good about the experience?</w:t>
            </w:r>
          </w:p>
          <w:p w:rsidR="00F237DA" w:rsidRDefault="00F237DA" w:rsidP="00F237DA">
            <w:pPr>
              <w:rPr>
                <w:rFonts w:ascii="Arial" w:hAnsi="Arial" w:cs="Arial"/>
                <w:bCs/>
                <w:sz w:val="20"/>
                <w:szCs w:val="20"/>
              </w:rPr>
            </w:pPr>
            <w:r>
              <w:rPr>
                <w:rFonts w:ascii="Arial" w:hAnsi="Arial" w:cs="Arial"/>
                <w:bCs/>
                <w:sz w:val="20"/>
                <w:szCs w:val="20"/>
              </w:rPr>
              <w:t>Q2 What could be better?</w:t>
            </w:r>
          </w:p>
          <w:p w:rsidR="00F237DA" w:rsidRDefault="00F237DA" w:rsidP="00F237DA">
            <w:pPr>
              <w:rPr>
                <w:rFonts w:ascii="Arial" w:hAnsi="Arial" w:cs="Arial"/>
                <w:bCs/>
                <w:sz w:val="20"/>
                <w:szCs w:val="20"/>
              </w:rPr>
            </w:pPr>
            <w:r>
              <w:rPr>
                <w:rFonts w:ascii="Arial" w:hAnsi="Arial" w:cs="Arial"/>
                <w:bCs/>
                <w:sz w:val="20"/>
                <w:szCs w:val="20"/>
              </w:rPr>
              <w:t xml:space="preserve">Q3 What else would you like to tell us?  </w:t>
            </w:r>
          </w:p>
          <w:p w:rsidR="00F237DA" w:rsidRDefault="00F237DA" w:rsidP="00F237DA">
            <w:pPr>
              <w:rPr>
                <w:rFonts w:ascii="Arial" w:hAnsi="Arial" w:cs="Arial"/>
                <w:bCs/>
                <w:sz w:val="20"/>
                <w:szCs w:val="20"/>
              </w:rPr>
            </w:pPr>
          </w:p>
          <w:p w:rsidR="00F237DA" w:rsidRDefault="00F237DA" w:rsidP="00F237DA">
            <w:pPr>
              <w:rPr>
                <w:rFonts w:ascii="Arial" w:hAnsi="Arial" w:cs="Arial"/>
                <w:bCs/>
                <w:sz w:val="20"/>
                <w:szCs w:val="20"/>
              </w:rPr>
            </w:pPr>
            <w:r>
              <w:rPr>
                <w:rFonts w:ascii="Arial" w:hAnsi="Arial" w:cs="Arial"/>
                <w:bCs/>
                <w:sz w:val="20"/>
                <w:szCs w:val="20"/>
              </w:rPr>
              <w:t>Patient Reported Outcome Measures (PROMs):</w:t>
            </w:r>
          </w:p>
          <w:p w:rsidR="00F237DA" w:rsidRDefault="00F237DA" w:rsidP="00F237DA">
            <w:pPr>
              <w:pStyle w:val="ListParagraph"/>
              <w:numPr>
                <w:ilvl w:val="0"/>
                <w:numId w:val="2"/>
              </w:numPr>
              <w:rPr>
                <w:rFonts w:ascii="Arial" w:hAnsi="Arial" w:cs="Arial"/>
                <w:bCs/>
                <w:sz w:val="20"/>
                <w:szCs w:val="20"/>
              </w:rPr>
            </w:pPr>
            <w:r>
              <w:rPr>
                <w:rFonts w:ascii="Arial" w:hAnsi="Arial" w:cs="Arial"/>
                <w:bCs/>
                <w:sz w:val="20"/>
                <w:szCs w:val="20"/>
              </w:rPr>
              <w:t>European Quality of Life (5D-3L)</w:t>
            </w:r>
          </w:p>
          <w:p w:rsidR="00F237DA" w:rsidRDefault="00F237DA" w:rsidP="00F237DA">
            <w:pPr>
              <w:pStyle w:val="ListParagraph"/>
              <w:numPr>
                <w:ilvl w:val="0"/>
                <w:numId w:val="2"/>
              </w:numPr>
              <w:rPr>
                <w:rFonts w:ascii="Arial" w:hAnsi="Arial" w:cs="Arial"/>
                <w:bCs/>
                <w:sz w:val="20"/>
                <w:szCs w:val="20"/>
              </w:rPr>
            </w:pPr>
            <w:proofErr w:type="spellStart"/>
            <w:r>
              <w:rPr>
                <w:rFonts w:ascii="Arial" w:hAnsi="Arial" w:cs="Arial"/>
                <w:sz w:val="20"/>
                <w:szCs w:val="20"/>
              </w:rPr>
              <w:t>ICEpop</w:t>
            </w:r>
            <w:proofErr w:type="spellEnd"/>
            <w:r>
              <w:rPr>
                <w:rFonts w:ascii="Arial" w:hAnsi="Arial" w:cs="Arial"/>
                <w:sz w:val="20"/>
                <w:szCs w:val="20"/>
              </w:rPr>
              <w:t xml:space="preserve"> </w:t>
            </w:r>
            <w:proofErr w:type="spellStart"/>
            <w:r>
              <w:rPr>
                <w:rFonts w:ascii="Arial" w:hAnsi="Arial" w:cs="Arial"/>
                <w:sz w:val="20"/>
                <w:szCs w:val="20"/>
              </w:rPr>
              <w:t>CAPability</w:t>
            </w:r>
            <w:proofErr w:type="spellEnd"/>
            <w:r>
              <w:rPr>
                <w:rFonts w:ascii="Arial" w:hAnsi="Arial" w:cs="Arial"/>
                <w:sz w:val="20"/>
                <w:szCs w:val="20"/>
              </w:rPr>
              <w:t xml:space="preserve"> measure for Older people (ICECAP-O)</w:t>
            </w:r>
          </w:p>
          <w:p w:rsidR="00F237DA" w:rsidRDefault="00F237DA" w:rsidP="00F237DA">
            <w:pPr>
              <w:pStyle w:val="ListParagraph"/>
              <w:numPr>
                <w:ilvl w:val="0"/>
                <w:numId w:val="2"/>
              </w:numPr>
              <w:rPr>
                <w:rStyle w:val="st1"/>
              </w:rPr>
            </w:pPr>
            <w:r>
              <w:rPr>
                <w:rStyle w:val="st1"/>
                <w:rFonts w:ascii="Arial" w:hAnsi="Arial" w:cs="Arial"/>
                <w:sz w:val="20"/>
                <w:szCs w:val="20"/>
              </w:rPr>
              <w:t>Adult Social Care Outcome Toolkit (ASCOF)</w:t>
            </w:r>
          </w:p>
          <w:p w:rsidR="00F237DA" w:rsidRDefault="00F237DA" w:rsidP="00F237DA">
            <w:pPr>
              <w:pStyle w:val="ListParagraph"/>
              <w:numPr>
                <w:ilvl w:val="0"/>
                <w:numId w:val="2"/>
              </w:numPr>
            </w:pPr>
            <w:r>
              <w:rPr>
                <w:rFonts w:ascii="Arial" w:hAnsi="Arial" w:cs="Arial"/>
                <w:bCs/>
                <w:sz w:val="20"/>
                <w:szCs w:val="20"/>
              </w:rPr>
              <w:t>End of Life Care (</w:t>
            </w:r>
            <w:proofErr w:type="spellStart"/>
            <w:r>
              <w:rPr>
                <w:rFonts w:ascii="Arial" w:hAnsi="Arial" w:cs="Arial"/>
                <w:bCs/>
                <w:sz w:val="20"/>
                <w:szCs w:val="20"/>
              </w:rPr>
              <w:t>EoLC</w:t>
            </w:r>
            <w:proofErr w:type="spellEnd"/>
            <w:r>
              <w:rPr>
                <w:rFonts w:ascii="Arial" w:hAnsi="Arial" w:cs="Arial"/>
                <w:bCs/>
                <w:sz w:val="20"/>
                <w:szCs w:val="20"/>
              </w:rPr>
              <w:t>)</w:t>
            </w:r>
          </w:p>
        </w:tc>
      </w:tr>
      <w:tr w:rsidR="00F237DA" w:rsidTr="00E1323A">
        <w:trPr>
          <w:cantSplit/>
          <w:trHeight w:val="615"/>
          <w:tblHeader/>
        </w:trPr>
        <w:tc>
          <w:tcPr>
            <w:tcW w:w="2092" w:type="dxa"/>
            <w:vMerge w:val="restart"/>
            <w:tcBorders>
              <w:top w:val="single" w:sz="12" w:space="0" w:color="auto"/>
              <w:left w:val="single" w:sz="12" w:space="0" w:color="auto"/>
              <w:bottom w:val="single" w:sz="12" w:space="0" w:color="auto"/>
              <w:right w:val="single" w:sz="2" w:space="0" w:color="auto"/>
            </w:tcBorders>
            <w:shd w:val="clear" w:color="auto" w:fill="FFFFFF" w:themeFill="background1"/>
            <w:hideMark/>
          </w:tcPr>
          <w:p w:rsidR="00F237DA" w:rsidRDefault="00F237DA" w:rsidP="00F237DA">
            <w:pPr>
              <w:rPr>
                <w:rFonts w:ascii="Arial" w:hAnsi="Arial" w:cs="Arial"/>
                <w:b/>
                <w:bCs/>
                <w:sz w:val="20"/>
                <w:szCs w:val="20"/>
              </w:rPr>
            </w:pPr>
            <w:r>
              <w:rPr>
                <w:rFonts w:ascii="Arial" w:hAnsi="Arial" w:cs="Arial"/>
                <w:b/>
                <w:bCs/>
                <w:sz w:val="20"/>
                <w:szCs w:val="20"/>
              </w:rPr>
              <w:t>Institutionalisation/independence</w:t>
            </w:r>
          </w:p>
        </w:tc>
        <w:tc>
          <w:tcPr>
            <w:tcW w:w="3543" w:type="dxa"/>
            <w:tcBorders>
              <w:top w:val="single" w:sz="12" w:space="0" w:color="auto"/>
              <w:left w:val="single" w:sz="2" w:space="0" w:color="auto"/>
              <w:bottom w:val="single" w:sz="12" w:space="0" w:color="C2D69B" w:themeColor="accent3" w:themeTint="99"/>
              <w:right w:val="single" w:sz="2" w:space="0" w:color="auto"/>
            </w:tcBorders>
            <w:shd w:val="clear" w:color="auto" w:fill="D99594" w:themeFill="accent2" w:themeFillTint="99"/>
          </w:tcPr>
          <w:p w:rsidR="00F237DA" w:rsidRDefault="00F237DA" w:rsidP="00F237DA">
            <w:pPr>
              <w:rPr>
                <w:rFonts w:ascii="Arial" w:hAnsi="Arial" w:cs="Arial"/>
                <w:bCs/>
                <w:sz w:val="20"/>
                <w:szCs w:val="20"/>
              </w:rPr>
            </w:pPr>
            <w:r>
              <w:rPr>
                <w:rFonts w:ascii="Arial" w:hAnsi="Arial" w:cs="Arial"/>
                <w:bCs/>
                <w:sz w:val="20"/>
                <w:szCs w:val="20"/>
              </w:rPr>
              <w:t>D2A pathway with system-wide wrap-around care</w:t>
            </w:r>
          </w:p>
          <w:p w:rsidR="00F237DA" w:rsidRDefault="00F237DA" w:rsidP="00F237DA">
            <w:pPr>
              <w:rPr>
                <w:rFonts w:ascii="Arial" w:hAnsi="Arial" w:cs="Arial"/>
                <w:bCs/>
                <w:sz w:val="20"/>
                <w:szCs w:val="20"/>
              </w:rPr>
            </w:pPr>
          </w:p>
        </w:tc>
        <w:tc>
          <w:tcPr>
            <w:tcW w:w="4535" w:type="dxa"/>
            <w:vMerge w:val="restart"/>
            <w:tcBorders>
              <w:top w:val="single" w:sz="12" w:space="0" w:color="auto"/>
              <w:left w:val="single" w:sz="2" w:space="0" w:color="auto"/>
              <w:bottom w:val="single" w:sz="12" w:space="0" w:color="auto"/>
              <w:right w:val="single" w:sz="12" w:space="0" w:color="auto"/>
            </w:tcBorders>
            <w:shd w:val="clear" w:color="auto" w:fill="D99594" w:themeFill="accent2" w:themeFillTint="99"/>
          </w:tcPr>
          <w:p w:rsidR="00F237DA" w:rsidRDefault="00F237DA" w:rsidP="00F237DA">
            <w:pPr>
              <w:rPr>
                <w:rFonts w:ascii="Arial" w:hAnsi="Arial" w:cs="Arial"/>
                <w:bCs/>
                <w:sz w:val="20"/>
                <w:szCs w:val="20"/>
              </w:rPr>
            </w:pPr>
            <w:r>
              <w:rPr>
                <w:rFonts w:ascii="Arial" w:hAnsi="Arial" w:cs="Arial"/>
                <w:bCs/>
                <w:sz w:val="20"/>
                <w:szCs w:val="20"/>
              </w:rPr>
              <w:t xml:space="preserve">People who are still at home 91 days after discharge from hospital (not limited to </w:t>
            </w:r>
            <w:proofErr w:type="spellStart"/>
            <w:r>
              <w:rPr>
                <w:rFonts w:ascii="Arial" w:hAnsi="Arial" w:cs="Arial"/>
                <w:bCs/>
                <w:sz w:val="20"/>
                <w:szCs w:val="20"/>
              </w:rPr>
              <w:t>reablement</w:t>
            </w:r>
            <w:proofErr w:type="spellEnd"/>
            <w:r>
              <w:rPr>
                <w:rFonts w:ascii="Arial" w:hAnsi="Arial" w:cs="Arial"/>
                <w:bCs/>
                <w:sz w:val="20"/>
                <w:szCs w:val="20"/>
              </w:rPr>
              <w:t>)</w:t>
            </w:r>
          </w:p>
          <w:p w:rsidR="00F237DA" w:rsidRDefault="00F237DA" w:rsidP="00F237DA">
            <w:pPr>
              <w:rPr>
                <w:rFonts w:ascii="Arial" w:hAnsi="Arial" w:cs="Arial"/>
                <w:bCs/>
                <w:sz w:val="20"/>
                <w:szCs w:val="20"/>
              </w:rPr>
            </w:pPr>
          </w:p>
          <w:p w:rsidR="00F237DA" w:rsidRDefault="00F237DA" w:rsidP="00F237DA">
            <w:pPr>
              <w:rPr>
                <w:rFonts w:ascii="Arial" w:hAnsi="Arial" w:cs="Arial"/>
                <w:bCs/>
                <w:sz w:val="20"/>
                <w:szCs w:val="20"/>
              </w:rPr>
            </w:pPr>
            <w:r>
              <w:rPr>
                <w:rFonts w:ascii="Arial" w:hAnsi="Arial" w:cs="Arial"/>
                <w:bCs/>
                <w:sz w:val="20"/>
                <w:szCs w:val="20"/>
              </w:rPr>
              <w:t>Camden measures – total time spent at home</w:t>
            </w:r>
            <w:r>
              <w:rPr>
                <w:rStyle w:val="FootnoteReference"/>
                <w:rFonts w:ascii="Arial" w:hAnsi="Arial" w:cs="Arial"/>
                <w:bCs/>
                <w:sz w:val="20"/>
                <w:szCs w:val="20"/>
              </w:rPr>
              <w:footnoteReference w:id="2"/>
            </w:r>
          </w:p>
          <w:p w:rsidR="00F237DA" w:rsidRDefault="00F237DA" w:rsidP="00F237DA">
            <w:pPr>
              <w:rPr>
                <w:rFonts w:ascii="Arial" w:hAnsi="Arial" w:cs="Arial"/>
                <w:bCs/>
                <w:sz w:val="20"/>
                <w:szCs w:val="20"/>
              </w:rPr>
            </w:pPr>
          </w:p>
          <w:p w:rsidR="00F237DA" w:rsidRDefault="00F237DA" w:rsidP="00F237DA">
            <w:pPr>
              <w:rPr>
                <w:rFonts w:ascii="Arial" w:hAnsi="Arial" w:cs="Arial"/>
                <w:bCs/>
                <w:sz w:val="20"/>
                <w:szCs w:val="20"/>
              </w:rPr>
            </w:pPr>
            <w:r>
              <w:rPr>
                <w:rFonts w:ascii="Arial" w:hAnsi="Arial" w:cs="Arial"/>
                <w:bCs/>
                <w:sz w:val="20"/>
                <w:szCs w:val="20"/>
              </w:rPr>
              <w:t>Proportion of patients who had a Preferred Place of Death (PPD)</w:t>
            </w:r>
          </w:p>
          <w:p w:rsidR="00F237DA" w:rsidRDefault="00F237DA" w:rsidP="00F237DA">
            <w:pPr>
              <w:rPr>
                <w:rFonts w:ascii="Arial" w:hAnsi="Arial" w:cs="Arial"/>
                <w:bCs/>
                <w:sz w:val="20"/>
                <w:szCs w:val="20"/>
              </w:rPr>
            </w:pPr>
          </w:p>
          <w:p w:rsidR="00F237DA" w:rsidRDefault="00F237DA" w:rsidP="00F237DA">
            <w:pPr>
              <w:rPr>
                <w:rFonts w:ascii="Arial" w:hAnsi="Arial" w:cs="Arial"/>
                <w:bCs/>
                <w:sz w:val="20"/>
                <w:szCs w:val="20"/>
              </w:rPr>
            </w:pPr>
            <w:r>
              <w:rPr>
                <w:rFonts w:ascii="Arial" w:hAnsi="Arial" w:cs="Arial"/>
                <w:bCs/>
                <w:sz w:val="20"/>
                <w:szCs w:val="20"/>
              </w:rPr>
              <w:t>Rate of admissions to residential care (per 1000 population, 75+)</w:t>
            </w:r>
          </w:p>
        </w:tc>
      </w:tr>
      <w:tr w:rsidR="00F237DA" w:rsidTr="00E1323A">
        <w:trPr>
          <w:cantSplit/>
          <w:trHeight w:val="1890"/>
          <w:tblHeader/>
        </w:trPr>
        <w:tc>
          <w:tcPr>
            <w:tcW w:w="2092" w:type="dxa"/>
            <w:vMerge/>
            <w:tcBorders>
              <w:top w:val="single" w:sz="12" w:space="0" w:color="auto"/>
              <w:left w:val="single" w:sz="12" w:space="0" w:color="auto"/>
              <w:bottom w:val="single" w:sz="12" w:space="0" w:color="auto"/>
              <w:right w:val="single" w:sz="2" w:space="0" w:color="auto"/>
            </w:tcBorders>
            <w:vAlign w:val="center"/>
            <w:hideMark/>
          </w:tcPr>
          <w:p w:rsidR="00F237DA" w:rsidRDefault="00F237DA" w:rsidP="00F237DA">
            <w:pPr>
              <w:rPr>
                <w:rFonts w:ascii="Arial" w:hAnsi="Arial" w:cs="Arial"/>
                <w:b/>
                <w:bCs/>
                <w:sz w:val="20"/>
                <w:szCs w:val="20"/>
              </w:rPr>
            </w:pPr>
          </w:p>
        </w:tc>
        <w:tc>
          <w:tcPr>
            <w:tcW w:w="3543" w:type="dxa"/>
            <w:tcBorders>
              <w:top w:val="single" w:sz="12" w:space="0" w:color="C2D69B" w:themeColor="accent3" w:themeTint="99"/>
              <w:left w:val="single" w:sz="2" w:space="0" w:color="auto"/>
              <w:bottom w:val="single" w:sz="12" w:space="0" w:color="auto"/>
              <w:right w:val="single" w:sz="2" w:space="0" w:color="auto"/>
            </w:tcBorders>
            <w:shd w:val="clear" w:color="auto" w:fill="C2D69B" w:themeFill="accent3" w:themeFillTint="99"/>
            <w:hideMark/>
          </w:tcPr>
          <w:p w:rsidR="00F237DA" w:rsidRDefault="00F237DA" w:rsidP="00F237DA">
            <w:pPr>
              <w:rPr>
                <w:rFonts w:ascii="Arial" w:hAnsi="Arial" w:cs="Arial"/>
                <w:bCs/>
                <w:sz w:val="20"/>
                <w:szCs w:val="20"/>
              </w:rPr>
            </w:pPr>
            <w:r>
              <w:rPr>
                <w:rFonts w:ascii="Arial" w:hAnsi="Arial" w:cs="Arial"/>
                <w:bCs/>
                <w:sz w:val="20"/>
                <w:szCs w:val="20"/>
              </w:rPr>
              <w:t xml:space="preserve">Reduction in </w:t>
            </w:r>
            <w:proofErr w:type="spellStart"/>
            <w:r>
              <w:rPr>
                <w:rFonts w:ascii="Arial" w:hAnsi="Arial" w:cs="Arial"/>
                <w:bCs/>
                <w:sz w:val="20"/>
                <w:szCs w:val="20"/>
              </w:rPr>
              <w:t>DToCs</w:t>
            </w:r>
            <w:proofErr w:type="spellEnd"/>
            <w:r>
              <w:rPr>
                <w:rFonts w:ascii="Arial" w:hAnsi="Arial" w:cs="Arial"/>
                <w:bCs/>
                <w:sz w:val="20"/>
                <w:szCs w:val="20"/>
              </w:rPr>
              <w:t xml:space="preserve"> in all parts of the system – measure delays in acute and community beds and community and </w:t>
            </w:r>
            <w:proofErr w:type="spellStart"/>
            <w:r>
              <w:rPr>
                <w:rFonts w:ascii="Arial" w:hAnsi="Arial" w:cs="Arial"/>
                <w:bCs/>
                <w:sz w:val="20"/>
                <w:szCs w:val="20"/>
              </w:rPr>
              <w:t>reablement</w:t>
            </w:r>
            <w:proofErr w:type="spellEnd"/>
            <w:r>
              <w:rPr>
                <w:rFonts w:ascii="Arial" w:hAnsi="Arial" w:cs="Arial"/>
                <w:bCs/>
                <w:sz w:val="20"/>
                <w:szCs w:val="20"/>
              </w:rPr>
              <w:t xml:space="preserve"> services (bridging for home care packages)</w:t>
            </w:r>
          </w:p>
        </w:tc>
        <w:tc>
          <w:tcPr>
            <w:tcW w:w="4535" w:type="dxa"/>
            <w:vMerge/>
            <w:tcBorders>
              <w:top w:val="single" w:sz="12" w:space="0" w:color="auto"/>
              <w:left w:val="single" w:sz="2" w:space="0" w:color="auto"/>
              <w:bottom w:val="single" w:sz="12" w:space="0" w:color="auto"/>
              <w:right w:val="single" w:sz="12" w:space="0" w:color="auto"/>
            </w:tcBorders>
            <w:vAlign w:val="center"/>
            <w:hideMark/>
          </w:tcPr>
          <w:p w:rsidR="00F237DA" w:rsidRDefault="00F237DA" w:rsidP="00F237DA">
            <w:pPr>
              <w:rPr>
                <w:rFonts w:ascii="Arial" w:hAnsi="Arial" w:cs="Arial"/>
                <w:bCs/>
                <w:sz w:val="20"/>
                <w:szCs w:val="20"/>
              </w:rPr>
            </w:pPr>
          </w:p>
        </w:tc>
      </w:tr>
      <w:tr w:rsidR="00F237DA" w:rsidTr="00E1323A">
        <w:trPr>
          <w:cantSplit/>
          <w:trHeight w:val="557"/>
          <w:tblHeader/>
        </w:trPr>
        <w:tc>
          <w:tcPr>
            <w:tcW w:w="2092" w:type="dxa"/>
            <w:tcBorders>
              <w:top w:val="single" w:sz="12" w:space="0" w:color="auto"/>
              <w:left w:val="single" w:sz="12" w:space="0" w:color="auto"/>
              <w:bottom w:val="single" w:sz="12" w:space="0" w:color="auto"/>
              <w:right w:val="single" w:sz="2" w:space="0" w:color="auto"/>
            </w:tcBorders>
            <w:shd w:val="clear" w:color="auto" w:fill="FFFFFF" w:themeFill="background1"/>
            <w:hideMark/>
          </w:tcPr>
          <w:p w:rsidR="00F237DA" w:rsidRDefault="00F237DA" w:rsidP="00F237DA">
            <w:pPr>
              <w:rPr>
                <w:rFonts w:ascii="Arial" w:hAnsi="Arial" w:cs="Arial"/>
                <w:b/>
                <w:bCs/>
                <w:sz w:val="20"/>
                <w:szCs w:val="20"/>
              </w:rPr>
            </w:pPr>
            <w:r>
              <w:rPr>
                <w:rFonts w:ascii="Arial" w:hAnsi="Arial" w:cs="Arial"/>
                <w:b/>
                <w:bCs/>
                <w:sz w:val="20"/>
                <w:szCs w:val="20"/>
              </w:rPr>
              <w:t>Reduced costs for system</w:t>
            </w:r>
          </w:p>
        </w:tc>
        <w:tc>
          <w:tcPr>
            <w:tcW w:w="3543" w:type="dxa"/>
            <w:tcBorders>
              <w:top w:val="single" w:sz="12" w:space="0" w:color="auto"/>
              <w:left w:val="single" w:sz="2" w:space="0" w:color="auto"/>
              <w:bottom w:val="single" w:sz="12" w:space="0" w:color="auto"/>
              <w:right w:val="single" w:sz="2" w:space="0" w:color="auto"/>
            </w:tcBorders>
            <w:shd w:val="clear" w:color="auto" w:fill="C2D69B" w:themeFill="accent3" w:themeFillTint="99"/>
          </w:tcPr>
          <w:p w:rsidR="00F237DA" w:rsidRDefault="00F237DA" w:rsidP="00F237DA">
            <w:pPr>
              <w:rPr>
                <w:rFonts w:ascii="Arial" w:hAnsi="Arial" w:cs="Arial"/>
                <w:bCs/>
                <w:sz w:val="20"/>
                <w:szCs w:val="20"/>
              </w:rPr>
            </w:pPr>
            <w:r>
              <w:rPr>
                <w:rFonts w:ascii="Arial" w:hAnsi="Arial" w:cs="Arial"/>
                <w:bCs/>
                <w:sz w:val="20"/>
                <w:szCs w:val="20"/>
              </w:rPr>
              <w:t xml:space="preserve">Discharges before trim point  </w:t>
            </w:r>
          </w:p>
          <w:p w:rsidR="00F237DA" w:rsidRDefault="00F237DA" w:rsidP="00F237DA">
            <w:pPr>
              <w:rPr>
                <w:rFonts w:ascii="Arial" w:hAnsi="Arial" w:cs="Arial"/>
                <w:bCs/>
                <w:sz w:val="20"/>
                <w:szCs w:val="20"/>
              </w:rPr>
            </w:pPr>
          </w:p>
          <w:p w:rsidR="00F237DA" w:rsidRDefault="00F237DA" w:rsidP="00F237DA">
            <w:pPr>
              <w:rPr>
                <w:rFonts w:ascii="Arial" w:hAnsi="Arial" w:cs="Arial"/>
                <w:bCs/>
                <w:sz w:val="20"/>
                <w:szCs w:val="20"/>
              </w:rPr>
            </w:pPr>
            <w:r>
              <w:rPr>
                <w:rFonts w:ascii="Arial" w:hAnsi="Arial" w:cs="Arial"/>
                <w:bCs/>
                <w:sz w:val="20"/>
                <w:szCs w:val="20"/>
              </w:rPr>
              <w:t>Reduction in excess bed-days</w:t>
            </w:r>
          </w:p>
        </w:tc>
        <w:tc>
          <w:tcPr>
            <w:tcW w:w="4535" w:type="dxa"/>
            <w:tcBorders>
              <w:top w:val="single" w:sz="12" w:space="0" w:color="auto"/>
              <w:left w:val="single" w:sz="2" w:space="0" w:color="auto"/>
              <w:bottom w:val="single" w:sz="12" w:space="0" w:color="auto"/>
              <w:right w:val="single" w:sz="12" w:space="0" w:color="auto"/>
            </w:tcBorders>
            <w:shd w:val="clear" w:color="auto" w:fill="C2D69B" w:themeFill="accent3" w:themeFillTint="99"/>
            <w:hideMark/>
          </w:tcPr>
          <w:p w:rsidR="00F237DA" w:rsidRDefault="00F237DA" w:rsidP="00F237DA">
            <w:pPr>
              <w:rPr>
                <w:rFonts w:ascii="Arial" w:hAnsi="Arial" w:cs="Arial"/>
                <w:bCs/>
                <w:sz w:val="20"/>
                <w:szCs w:val="20"/>
              </w:rPr>
            </w:pPr>
            <w:r>
              <w:rPr>
                <w:rFonts w:ascii="Arial" w:hAnsi="Arial" w:cs="Arial"/>
                <w:bCs/>
                <w:sz w:val="20"/>
                <w:szCs w:val="20"/>
              </w:rPr>
              <w:t>Bed nights (per 1000 population aged 75+)</w:t>
            </w:r>
          </w:p>
        </w:tc>
      </w:tr>
    </w:tbl>
    <w:p w:rsidR="00507C2C" w:rsidRDefault="00507C2C"/>
    <w:sectPr w:rsidR="00507C2C" w:rsidSect="004B120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7387" w:rsidRDefault="00657387" w:rsidP="00657387">
      <w:pPr>
        <w:spacing w:after="0" w:line="240" w:lineRule="auto"/>
      </w:pPr>
      <w:r>
        <w:separator/>
      </w:r>
    </w:p>
  </w:endnote>
  <w:endnote w:type="continuationSeparator" w:id="0">
    <w:p w:rsidR="00657387" w:rsidRDefault="00657387" w:rsidP="006573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7387" w:rsidRDefault="00657387" w:rsidP="00657387">
      <w:pPr>
        <w:spacing w:after="0" w:line="240" w:lineRule="auto"/>
      </w:pPr>
      <w:r>
        <w:separator/>
      </w:r>
    </w:p>
  </w:footnote>
  <w:footnote w:type="continuationSeparator" w:id="0">
    <w:p w:rsidR="00657387" w:rsidRDefault="00657387" w:rsidP="00657387">
      <w:pPr>
        <w:spacing w:after="0" w:line="240" w:lineRule="auto"/>
      </w:pPr>
      <w:r>
        <w:continuationSeparator/>
      </w:r>
    </w:p>
  </w:footnote>
  <w:footnote w:id="1">
    <w:p w:rsidR="00F237DA" w:rsidRDefault="00F237DA" w:rsidP="00657387">
      <w:pPr>
        <w:pStyle w:val="FootnoteText"/>
      </w:pPr>
      <w:r>
        <w:rPr>
          <w:rStyle w:val="FootnoteReference"/>
        </w:rPr>
        <w:footnoteRef/>
      </w:r>
      <w:r>
        <w:t xml:space="preserve"> </w:t>
      </w:r>
      <w:hyperlink r:id="rId1" w:history="1">
        <w:r>
          <w:rPr>
            <w:rStyle w:val="Hyperlink"/>
          </w:rPr>
          <w:t>Safer Care Bundle</w:t>
        </w:r>
      </w:hyperlink>
    </w:p>
  </w:footnote>
  <w:footnote w:id="2">
    <w:p w:rsidR="00F237DA" w:rsidRDefault="00F237DA" w:rsidP="00657387">
      <w:pPr>
        <w:pStyle w:val="FootnoteText"/>
      </w:pPr>
      <w:r>
        <w:rPr>
          <w:rStyle w:val="FootnoteReference"/>
        </w:rPr>
        <w:footnoteRef/>
      </w:r>
      <w:r>
        <w:t xml:space="preserve"> </w:t>
      </w:r>
      <w:hyperlink r:id="rId2" w:history="1">
        <w:r>
          <w:rPr>
            <w:rStyle w:val="Hyperlink"/>
          </w:rPr>
          <w:t>Time Spent at home Measure – Camden</w:t>
        </w:r>
      </w:hyperlink>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691765"/>
    <w:multiLevelType w:val="hybridMultilevel"/>
    <w:tmpl w:val="826E58FC"/>
    <w:lvl w:ilvl="0" w:tplc="0809000F">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99557BC"/>
    <w:multiLevelType w:val="hybridMultilevel"/>
    <w:tmpl w:val="26D057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678104C0"/>
    <w:multiLevelType w:val="hybridMultilevel"/>
    <w:tmpl w:val="E5489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6D7324FA"/>
    <w:multiLevelType w:val="hybridMultilevel"/>
    <w:tmpl w:val="F7B21B38"/>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387"/>
    <w:rsid w:val="002356BD"/>
    <w:rsid w:val="004B120A"/>
    <w:rsid w:val="00507C2C"/>
    <w:rsid w:val="00657387"/>
    <w:rsid w:val="00CA20CC"/>
    <w:rsid w:val="00E1323A"/>
    <w:rsid w:val="00F237DA"/>
    <w:rsid w:val="00F76D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7387"/>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573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57387"/>
    <w:pPr>
      <w:ind w:left="720"/>
      <w:contextualSpacing/>
    </w:pPr>
  </w:style>
  <w:style w:type="paragraph" w:styleId="FootnoteText">
    <w:name w:val="footnote text"/>
    <w:basedOn w:val="Normal"/>
    <w:link w:val="FootnoteTextChar"/>
    <w:uiPriority w:val="99"/>
    <w:semiHidden/>
    <w:unhideWhenUsed/>
    <w:rsid w:val="0065738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57387"/>
    <w:rPr>
      <w:sz w:val="20"/>
      <w:szCs w:val="20"/>
    </w:rPr>
  </w:style>
  <w:style w:type="character" w:styleId="FootnoteReference">
    <w:name w:val="footnote reference"/>
    <w:basedOn w:val="DefaultParagraphFont"/>
    <w:uiPriority w:val="99"/>
    <w:semiHidden/>
    <w:unhideWhenUsed/>
    <w:rsid w:val="00657387"/>
    <w:rPr>
      <w:vertAlign w:val="superscript"/>
    </w:rPr>
  </w:style>
  <w:style w:type="character" w:styleId="Hyperlink">
    <w:name w:val="Hyperlink"/>
    <w:basedOn w:val="DefaultParagraphFont"/>
    <w:uiPriority w:val="99"/>
    <w:unhideWhenUsed/>
    <w:rsid w:val="00657387"/>
    <w:rPr>
      <w:color w:val="0000FF" w:themeColor="hyperlink"/>
      <w:u w:val="single"/>
    </w:rPr>
  </w:style>
  <w:style w:type="character" w:customStyle="1" w:styleId="st1">
    <w:name w:val="st1"/>
    <w:basedOn w:val="DefaultParagraphFont"/>
    <w:rsid w:val="0065738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7387"/>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573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57387"/>
    <w:pPr>
      <w:ind w:left="720"/>
      <w:contextualSpacing/>
    </w:pPr>
  </w:style>
  <w:style w:type="paragraph" w:styleId="FootnoteText">
    <w:name w:val="footnote text"/>
    <w:basedOn w:val="Normal"/>
    <w:link w:val="FootnoteTextChar"/>
    <w:uiPriority w:val="99"/>
    <w:semiHidden/>
    <w:unhideWhenUsed/>
    <w:rsid w:val="0065738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57387"/>
    <w:rPr>
      <w:sz w:val="20"/>
      <w:szCs w:val="20"/>
    </w:rPr>
  </w:style>
  <w:style w:type="character" w:styleId="FootnoteReference">
    <w:name w:val="footnote reference"/>
    <w:basedOn w:val="DefaultParagraphFont"/>
    <w:uiPriority w:val="99"/>
    <w:semiHidden/>
    <w:unhideWhenUsed/>
    <w:rsid w:val="00657387"/>
    <w:rPr>
      <w:vertAlign w:val="superscript"/>
    </w:rPr>
  </w:style>
  <w:style w:type="character" w:styleId="Hyperlink">
    <w:name w:val="Hyperlink"/>
    <w:basedOn w:val="DefaultParagraphFont"/>
    <w:uiPriority w:val="99"/>
    <w:unhideWhenUsed/>
    <w:rsid w:val="00657387"/>
    <w:rPr>
      <w:color w:val="0000FF" w:themeColor="hyperlink"/>
      <w:u w:val="single"/>
    </w:rPr>
  </w:style>
  <w:style w:type="character" w:customStyle="1" w:styleId="st1">
    <w:name w:val="st1"/>
    <w:basedOn w:val="DefaultParagraphFont"/>
    <w:rsid w:val="006573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customXml" Target="../customXml/item1.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catalyst.nejm.org/time-spent-at-home-a-patient-defined-outcome/" TargetMode="External"/><Relationship Id="rId1" Type="http://schemas.openxmlformats.org/officeDocument/2006/relationships/hyperlink" Target="http://www.ecip.nhs.uk/uploads/files/1/Improvement%20Tools/Breaking%20the%20Cycle%20SAFER%20Patient%20Flow%20Bundl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952AC5BC18030478CDDAF6659DC9BA9" ma:contentTypeVersion="4" ma:contentTypeDescription="Create a new document." ma:contentTypeScope="" ma:versionID="3fa96daa87ab8bcc655e43c53125cf6d">
  <xsd:schema xmlns:xsd="http://www.w3.org/2001/XMLSchema" xmlns:p="http://schemas.microsoft.com/office/2006/metadata/properties" xmlns:ns1="http://schemas.microsoft.com/sharepoint/v3" xmlns:ns2="6d9a0dc6-d8e4-432a-9d52-7ba127069058" xmlns:ns3="d7944a90-8127-4c9b-9a5c-c90db39a727a" targetNamespace="http://schemas.microsoft.com/office/2006/metadata/properties" ma:root="true" ma:fieldsID="2c6a24fb1cae05690317b79667ed52c4" ns1:_="" ns2:_="" ns3:_="">
    <xsd:import namespace="http://schemas.microsoft.com/sharepoint/v3"/>
    <xsd:import namespace="6d9a0dc6-d8e4-432a-9d52-7ba127069058"/>
    <xsd:import namespace="d7944a90-8127-4c9b-9a5c-c90db39a727a"/>
    <xsd:element name="properties">
      <xsd:complexType>
        <xsd:sequence>
          <xsd:element name="documentManagement">
            <xsd:complexType>
              <xsd:all>
                <xsd:element ref="ns2:NHSUK_Ontology" minOccurs="0"/>
                <xsd:element ref="ns3:NHSUK_Ontology_Score" minOccurs="0"/>
                <xsd:element ref="ns3:NHSUK_Ontology_Parents" minOccurs="0"/>
                <xsd:element ref="ns3:NHSUK_Ontology_Data" minOccurs="0"/>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12" nillable="true" ma:displayName="PublishingStartDate" ma:description="" ma:internalName="PublishingStartDate" ma:readOnly="false">
      <xsd:simpleType>
        <xsd:restriction base="dms:Unknown"/>
      </xsd:simpleType>
    </xsd:element>
    <xsd:element name="PublishingExpirationDate" ma:index="13" nillable="true" ma:displayName="PublishingExpirationDate" ma:description="" ma:internalName="PublishingExpirationDate" ma:readOnly="false">
      <xsd:simpleType>
        <xsd:restriction base="dms:Unknown"/>
      </xsd:simpleType>
    </xsd:element>
  </xsd:schema>
  <xsd:schema xmlns:xsd="http://www.w3.org/2001/XMLSchema" xmlns:dms="http://schemas.microsoft.com/office/2006/documentManagement/types" targetNamespace="6d9a0dc6-d8e4-432a-9d52-7ba127069058" elementFormDefault="qualified">
    <xsd:import namespace="http://schemas.microsoft.com/office/2006/documentManagement/types"/>
    <xsd:element name="NHSUK_Ontology" ma:index="8" nillable="true" ma:displayName="NHSUK_Ontology" ma:internalName="NHSUK_Ontology">
      <xsd:simpleType>
        <xsd:restriction base="dms:Unknown"/>
      </xsd:simpleType>
    </xsd:element>
  </xsd:schema>
  <xsd:schema xmlns:xsd="http://www.w3.org/2001/XMLSchema" xmlns:dms="http://schemas.microsoft.com/office/2006/documentManagement/types" targetNamespace="d7944a90-8127-4c9b-9a5c-c90db39a727a" elementFormDefault="qualified">
    <xsd:import namespace="http://schemas.microsoft.com/office/2006/documentManagement/types"/>
    <xsd:element name="NHSUK_Ontology_Score" ma:index="9" nillable="true" ma:displayName="NHSUK_Ontology_Score" ma:hidden="true" ma:internalName="NHSUK_Ontology_Score">
      <xsd:simpleType>
        <xsd:restriction base="dms:Note"/>
      </xsd:simpleType>
    </xsd:element>
    <xsd:element name="NHSUK_Ontology_Parents" ma:index="10" nillable="true" ma:displayName="NHSUK_Ontology_Parents" ma:hidden="true" ma:internalName="NHSUK_Ontology_Parents">
      <xsd:complexType>
        <xsd:complexContent>
          <xsd:extension base="dms:MultiChoice">
            <xsd:sequence>
              <xsd:element name="Value" maxOccurs="unbounded" minOccurs="0" nillable="true">
                <xsd:simpleType>
                  <xsd:restriction base="dms:Choice"/>
                </xsd:simpleType>
              </xsd:element>
            </xsd:sequence>
          </xsd:extension>
        </xsd:complexContent>
      </xsd:complexType>
    </xsd:element>
    <xsd:element name="NHSUK_Ontology_Data" ma:index="11" nillable="true" ma:displayName="NHSUK_Ontology_Data" ma:hidden="true" ma:internalName="NHSUK_Ontology_Data">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NHSUK_Ontology_Parents xmlns="d7944a90-8127-4c9b-9a5c-c90db39a727a"/>
    <NHSUK_Ontology_Score xmlns="d7944a90-8127-4c9b-9a5c-c90db39a727a" xsi:nil="true"/>
    <NHSUK_Ontology xmlns="6d9a0dc6-d8e4-432a-9d52-7ba127069058" xsi:nil="true"/>
    <NHSUK_Ontology_Data xmlns="d7944a90-8127-4c9b-9a5c-c90db39a727a" xsi:nil="true"/>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8FA31328-1173-44D0-A63D-24854D0249C9}"/>
</file>

<file path=customXml/itemProps2.xml><?xml version="1.0" encoding="utf-8"?>
<ds:datastoreItem xmlns:ds="http://schemas.openxmlformats.org/officeDocument/2006/customXml" ds:itemID="{3A6A3653-51F2-482B-938A-D4637EAE2822}"/>
</file>

<file path=customXml/itemProps3.xml><?xml version="1.0" encoding="utf-8"?>
<ds:datastoreItem xmlns:ds="http://schemas.openxmlformats.org/officeDocument/2006/customXml" ds:itemID="{FBB445B3-52EA-4CFE-AE00-EB2FBEF43F25}"/>
</file>

<file path=docProps/app.xml><?xml version="1.0" encoding="utf-8"?>
<Properties xmlns="http://schemas.openxmlformats.org/officeDocument/2006/extended-properties" xmlns:vt="http://schemas.openxmlformats.org/officeDocument/2006/docPropsVTypes">
  <Template>Normal</Template>
  <TotalTime>28</TotalTime>
  <Pages>2</Pages>
  <Words>464</Words>
  <Characters>2646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3104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Ewart, Sonal</dc:creator>
  <cp:lastModifiedBy>Ewart, Sonal</cp:lastModifiedBy>
  <cp:revision>6</cp:revision>
  <dcterms:created xsi:type="dcterms:W3CDTF">2016-08-25T12:16:00Z</dcterms:created>
  <dcterms:modified xsi:type="dcterms:W3CDTF">2016-09-20T13:28:00Z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0x0101006952AC5BC18030478CDDAF6659DC9BA9</vt:lpwstr>
  </property>
</Properties>
</file>